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3EB3" w14:textId="77777777" w:rsidR="00966C1E" w:rsidRPr="006B1830" w:rsidRDefault="00966C1E" w:rsidP="00966C1E">
      <w:pPr>
        <w:autoSpaceDE w:val="0"/>
        <w:autoSpaceDN w:val="0"/>
        <w:adjustRightInd w:val="0"/>
        <w:rPr>
          <w:rStyle w:val="Heading2"/>
        </w:rPr>
      </w:pPr>
      <w:r w:rsidRPr="006B1830">
        <w:rPr>
          <w:rStyle w:val="Heading2"/>
        </w:rPr>
        <w:t>Appendix 2 - Habitat Regulations Assessment (HRA)</w:t>
      </w:r>
    </w:p>
    <w:p w14:paraId="3D552EF8" w14:textId="77777777" w:rsidR="00966C1E" w:rsidRPr="006B1830" w:rsidRDefault="00966C1E" w:rsidP="00966C1E">
      <w:pPr>
        <w:autoSpaceDE w:val="0"/>
        <w:autoSpaceDN w:val="0"/>
        <w:adjustRightInd w:val="0"/>
        <w:rPr>
          <w:rStyle w:val="Heading2"/>
        </w:rPr>
      </w:pPr>
      <w:r w:rsidRPr="006B1830">
        <w:rPr>
          <w:rStyle w:val="Heading2"/>
        </w:rPr>
        <w:t xml:space="preserve">Screening Opinion for the </w:t>
      </w:r>
      <w:r>
        <w:rPr>
          <w:rStyle w:val="Heading2"/>
        </w:rPr>
        <w:t>Wantage</w:t>
      </w:r>
      <w:r w:rsidRPr="006B1830">
        <w:rPr>
          <w:rStyle w:val="Heading2"/>
        </w:rPr>
        <w:t xml:space="preserve"> Neighbourhood Development Plan</w:t>
      </w:r>
    </w:p>
    <w:p w14:paraId="07F7C70D" w14:textId="77777777" w:rsidR="00966C1E" w:rsidRPr="006B1830" w:rsidRDefault="00966C1E" w:rsidP="00966C1E">
      <w:pPr>
        <w:autoSpaceDE w:val="0"/>
        <w:autoSpaceDN w:val="0"/>
        <w:adjustRightInd w:val="0"/>
        <w:rPr>
          <w:rFonts w:cs="Arial"/>
          <w:b/>
          <w:bCs/>
          <w:sz w:val="32"/>
          <w:szCs w:val="32"/>
        </w:rPr>
      </w:pPr>
    </w:p>
    <w:p w14:paraId="479BE0DD" w14:textId="77777777" w:rsidR="00966C1E" w:rsidRPr="006B1830" w:rsidRDefault="00966C1E" w:rsidP="00966C1E">
      <w:pPr>
        <w:autoSpaceDE w:val="0"/>
        <w:autoSpaceDN w:val="0"/>
        <w:adjustRightInd w:val="0"/>
        <w:rPr>
          <w:rStyle w:val="Heading4"/>
        </w:rPr>
      </w:pPr>
      <w:r w:rsidRPr="006B1830">
        <w:rPr>
          <w:rStyle w:val="Heading4"/>
        </w:rPr>
        <w:t>Introduction</w:t>
      </w:r>
    </w:p>
    <w:p w14:paraId="420E5F64" w14:textId="77777777" w:rsidR="00966C1E" w:rsidRPr="006B1830" w:rsidRDefault="00966C1E" w:rsidP="00966C1E">
      <w:pPr>
        <w:autoSpaceDE w:val="0"/>
        <w:autoSpaceDN w:val="0"/>
        <w:adjustRightInd w:val="0"/>
        <w:rPr>
          <w:rStyle w:val="Heading4"/>
        </w:rPr>
      </w:pPr>
    </w:p>
    <w:p w14:paraId="3C6E68C1" w14:textId="445ADE2F" w:rsidR="00966C1E" w:rsidRPr="006B1830" w:rsidRDefault="00966C1E" w:rsidP="00966C1E">
      <w:pPr>
        <w:numPr>
          <w:ilvl w:val="0"/>
          <w:numId w:val="2"/>
        </w:numPr>
        <w:autoSpaceDE w:val="0"/>
        <w:autoSpaceDN w:val="0"/>
        <w:adjustRightInd w:val="0"/>
        <w:rPr>
          <w:rFonts w:cs="Arial"/>
        </w:rPr>
      </w:pPr>
      <w:r w:rsidRPr="006B1830">
        <w:rPr>
          <w:rFonts w:cs="Arial"/>
          <w:bCs/>
        </w:rPr>
        <w:t xml:space="preserve">The Local Authority </w:t>
      </w:r>
      <w:r w:rsidRPr="006B1830">
        <w:rPr>
          <w:rFonts w:cs="Arial"/>
        </w:rPr>
        <w:t xml:space="preserve">is the “competent authority” under the Conservation of Habitats and Species Regulations </w:t>
      </w:r>
      <w:r w:rsidR="00CC4283" w:rsidRPr="006B1830">
        <w:rPr>
          <w:rFonts w:cs="Arial"/>
        </w:rPr>
        <w:t>2017 and</w:t>
      </w:r>
      <w:r w:rsidRPr="006B1830">
        <w:rPr>
          <w:rFonts w:cs="Arial"/>
        </w:rPr>
        <w:t xml:space="preserve"> needs to ensure that Neighbourhood Plans have been assessed through the Habitats Regulations process. This looks at the potential for significant impacts on nature conservation sites that are of European importance</w:t>
      </w:r>
      <w:r w:rsidRPr="006B1830">
        <w:rPr>
          <w:rStyle w:val="FootnoteReference"/>
          <w:rFonts w:cs="Arial"/>
        </w:rPr>
        <w:footnoteReference w:id="1"/>
      </w:r>
      <w:r w:rsidRPr="006B1830">
        <w:rPr>
          <w:rFonts w:cs="Arial"/>
        </w:rPr>
        <w:t>, also referred to as Natura 2000.</w:t>
      </w:r>
    </w:p>
    <w:p w14:paraId="72B57D64" w14:textId="77777777" w:rsidR="00966C1E" w:rsidRPr="006B1830" w:rsidRDefault="00966C1E" w:rsidP="00966C1E">
      <w:pPr>
        <w:autoSpaceDE w:val="0"/>
        <w:autoSpaceDN w:val="0"/>
        <w:adjustRightInd w:val="0"/>
        <w:ind w:left="360"/>
        <w:rPr>
          <w:rFonts w:cs="Arial"/>
        </w:rPr>
      </w:pPr>
    </w:p>
    <w:p w14:paraId="379857E5" w14:textId="77777777" w:rsidR="00966C1E" w:rsidRPr="006B1830" w:rsidRDefault="00966C1E" w:rsidP="00966C1E">
      <w:pPr>
        <w:numPr>
          <w:ilvl w:val="0"/>
          <w:numId w:val="2"/>
        </w:numPr>
        <w:autoSpaceDE w:val="0"/>
        <w:autoSpaceDN w:val="0"/>
        <w:adjustRightInd w:val="0"/>
        <w:rPr>
          <w:rFonts w:cs="Arial"/>
        </w:rPr>
      </w:pPr>
      <w:r w:rsidRPr="006B1830">
        <w:rPr>
          <w:rFonts w:cs="Arial"/>
        </w:rPr>
        <w:t>This Screening Assessment relates to a</w:t>
      </w:r>
      <w:r w:rsidRPr="006B1830">
        <w:t xml:space="preserve"> Neighbourhood Development Plan </w:t>
      </w:r>
      <w:r w:rsidRPr="006B1830">
        <w:rPr>
          <w:rFonts w:cs="Arial"/>
        </w:rPr>
        <w:t>that will be in general conformity with the strategic policies within the development plan</w:t>
      </w:r>
      <w:r w:rsidRPr="006B1830">
        <w:rPr>
          <w:rStyle w:val="FootnoteReference"/>
          <w:rFonts w:cs="Arial"/>
        </w:rPr>
        <w:footnoteReference w:id="2"/>
      </w:r>
      <w:r w:rsidRPr="006B1830">
        <w:rPr>
          <w:rFonts w:cs="Arial"/>
        </w:rPr>
        <w:t xml:space="preserve"> (the </w:t>
      </w:r>
      <w:proofErr w:type="gramStart"/>
      <w:r w:rsidRPr="006B1830">
        <w:rPr>
          <w:rFonts w:cs="Arial"/>
        </w:rPr>
        <w:t>higher level</w:t>
      </w:r>
      <w:proofErr w:type="gramEnd"/>
      <w:r w:rsidRPr="006B1830">
        <w:rPr>
          <w:rFonts w:cs="Arial"/>
        </w:rPr>
        <w:t xml:space="preserve"> plan for town and country planning and land use). </w:t>
      </w:r>
      <w:r w:rsidRPr="002D2491">
        <w:rPr>
          <w:rFonts w:cs="Arial"/>
        </w:rPr>
        <w:t xml:space="preserve">This Screening Assessment uses the Habitats Regulations Assessment of </w:t>
      </w:r>
      <w:r>
        <w:rPr>
          <w:rFonts w:cs="Arial"/>
        </w:rPr>
        <w:t>Vale of White Horse</w:t>
      </w:r>
      <w:r w:rsidRPr="002D2491">
        <w:rPr>
          <w:rFonts w:cs="Arial"/>
        </w:rPr>
        <w:t xml:space="preserve"> Local Plan</w:t>
      </w:r>
      <w:r>
        <w:rPr>
          <w:rFonts w:cs="Arial"/>
        </w:rPr>
        <w:t xml:space="preserve"> Part 1</w:t>
      </w:r>
      <w:r>
        <w:rPr>
          <w:rStyle w:val="FootnoteReference"/>
          <w:rFonts w:cs="Arial"/>
        </w:rPr>
        <w:footnoteReference w:id="3"/>
      </w:r>
      <w:r>
        <w:rPr>
          <w:rFonts w:cs="Arial"/>
        </w:rPr>
        <w:t xml:space="preserve"> and Part 2</w:t>
      </w:r>
      <w:r>
        <w:rPr>
          <w:rStyle w:val="FootnoteReference"/>
          <w:rFonts w:cs="Arial"/>
        </w:rPr>
        <w:footnoteReference w:id="4"/>
      </w:r>
      <w:r>
        <w:rPr>
          <w:rFonts w:cs="Arial"/>
          <w:vertAlign w:val="superscript"/>
        </w:rPr>
        <w:t xml:space="preserve"> </w:t>
      </w:r>
      <w:r w:rsidRPr="002D2491">
        <w:rPr>
          <w:rFonts w:cs="Arial"/>
        </w:rPr>
        <w:t xml:space="preserve">as its basis for assessment. From this, the Local Authority will determine whether the </w:t>
      </w:r>
      <w:r>
        <w:t>Wantage</w:t>
      </w:r>
      <w:r w:rsidRPr="002D2491">
        <w:t xml:space="preserve"> Neighbourhood Development Plan is</w:t>
      </w:r>
      <w:r w:rsidRPr="002D2491">
        <w:rPr>
          <w:rFonts w:cs="Arial"/>
        </w:rPr>
        <w:t xml:space="preserve"> likely to result in significant impacts on Natura 2000 sites either alone or in combination with other plans and policies and, therefore, whether an</w:t>
      </w:r>
      <w:r w:rsidRPr="006B1830">
        <w:rPr>
          <w:rFonts w:cs="Arial"/>
        </w:rPr>
        <w:t xml:space="preserve"> ‘Appropriate Assessment’ is required. </w:t>
      </w:r>
    </w:p>
    <w:p w14:paraId="6A70BBB0" w14:textId="77777777" w:rsidR="00966C1E" w:rsidRPr="006B1830" w:rsidRDefault="00966C1E" w:rsidP="00966C1E">
      <w:pPr>
        <w:autoSpaceDE w:val="0"/>
        <w:autoSpaceDN w:val="0"/>
        <w:adjustRightInd w:val="0"/>
        <w:rPr>
          <w:rFonts w:cs="Arial"/>
        </w:rPr>
      </w:pPr>
    </w:p>
    <w:p w14:paraId="01DD446E" w14:textId="77777777" w:rsidR="00966C1E" w:rsidRPr="006B1830" w:rsidRDefault="00966C1E" w:rsidP="00966C1E">
      <w:pPr>
        <w:autoSpaceDE w:val="0"/>
        <w:autoSpaceDN w:val="0"/>
        <w:adjustRightInd w:val="0"/>
        <w:rPr>
          <w:rStyle w:val="Heading4"/>
        </w:rPr>
      </w:pPr>
      <w:r w:rsidRPr="006B1830">
        <w:rPr>
          <w:rStyle w:val="Heading4"/>
        </w:rPr>
        <w:t>Legislative Basis</w:t>
      </w:r>
    </w:p>
    <w:p w14:paraId="2096DC3F" w14:textId="77777777" w:rsidR="00966C1E" w:rsidRPr="006B1830" w:rsidRDefault="00966C1E" w:rsidP="00966C1E">
      <w:pPr>
        <w:autoSpaceDE w:val="0"/>
        <w:autoSpaceDN w:val="0"/>
        <w:adjustRightInd w:val="0"/>
        <w:rPr>
          <w:rFonts w:cs="Arial"/>
        </w:rPr>
      </w:pPr>
    </w:p>
    <w:p w14:paraId="568C1DC7" w14:textId="77777777" w:rsidR="00966C1E" w:rsidRPr="006B1830" w:rsidRDefault="00966C1E" w:rsidP="00966C1E">
      <w:pPr>
        <w:numPr>
          <w:ilvl w:val="0"/>
          <w:numId w:val="2"/>
        </w:numPr>
        <w:autoSpaceDE w:val="0"/>
        <w:autoSpaceDN w:val="0"/>
        <w:adjustRightInd w:val="0"/>
        <w:rPr>
          <w:rFonts w:cs="Arial"/>
        </w:rPr>
      </w:pPr>
      <w:r w:rsidRPr="006B1830">
        <w:rPr>
          <w:rFonts w:cs="Arial"/>
        </w:rPr>
        <w:t xml:space="preserve">Article 6(3) of the EU Habitats Directive provides that: </w:t>
      </w:r>
    </w:p>
    <w:p w14:paraId="585F314F" w14:textId="77777777" w:rsidR="00966C1E" w:rsidRPr="006B1830" w:rsidRDefault="00966C1E" w:rsidP="00966C1E">
      <w:pPr>
        <w:autoSpaceDE w:val="0"/>
        <w:autoSpaceDN w:val="0"/>
        <w:adjustRightInd w:val="0"/>
        <w:rPr>
          <w:rFonts w:cs="Arial"/>
          <w:i/>
          <w:iCs/>
        </w:rPr>
      </w:pPr>
    </w:p>
    <w:p w14:paraId="56F3919E" w14:textId="77777777" w:rsidR="00966C1E" w:rsidRPr="006B1830" w:rsidRDefault="00966C1E" w:rsidP="00966C1E">
      <w:pPr>
        <w:autoSpaceDE w:val="0"/>
        <w:autoSpaceDN w:val="0"/>
        <w:adjustRightInd w:val="0"/>
        <w:ind w:firstLine="720"/>
        <w:rPr>
          <w:rFonts w:cs="Arial"/>
        </w:rPr>
      </w:pPr>
      <w:r w:rsidRPr="006B1830">
        <w:rPr>
          <w:rFonts w:cs="Arial"/>
          <w:i/>
          <w:iCs/>
        </w:rPr>
        <w:t>“Any plan or project not directly connected with or necessary to the</w:t>
      </w:r>
    </w:p>
    <w:p w14:paraId="59264625" w14:textId="77777777" w:rsidR="00966C1E" w:rsidRPr="006B1830" w:rsidRDefault="00966C1E" w:rsidP="00966C1E">
      <w:pPr>
        <w:autoSpaceDE w:val="0"/>
        <w:autoSpaceDN w:val="0"/>
        <w:adjustRightInd w:val="0"/>
        <w:ind w:left="720"/>
        <w:rPr>
          <w:rFonts w:cs="Arial"/>
          <w:i/>
          <w:iCs/>
        </w:rPr>
      </w:pPr>
      <w:r w:rsidRPr="006B1830">
        <w:rPr>
          <w:rFonts w:cs="Arial"/>
          <w:i/>
          <w:iCs/>
        </w:rPr>
        <w:t>management of the [European] site but likely to have a significant effect thereon, either individually or in combination with other plans or projects, shall be subject to appropriate assessment of its implications for the site in view of the site's conservation objectives. In the light of the conclusions of the assessment of the implications for the site and subject to the provisions of paragraph 4, the competent national authorities shall agree to the plan or project only after having ascertained that it will not adversely affect the integrity of the site concerned and, if appropriate, after having obtained the opinion of the general public.”</w:t>
      </w:r>
    </w:p>
    <w:p w14:paraId="2C5DDAED" w14:textId="77777777" w:rsidR="00966C1E" w:rsidRPr="006B1830" w:rsidRDefault="00966C1E" w:rsidP="00966C1E">
      <w:pPr>
        <w:autoSpaceDE w:val="0"/>
        <w:autoSpaceDN w:val="0"/>
        <w:adjustRightInd w:val="0"/>
        <w:ind w:left="720"/>
        <w:rPr>
          <w:rFonts w:cs="Arial"/>
          <w:i/>
          <w:iCs/>
        </w:rPr>
      </w:pPr>
    </w:p>
    <w:p w14:paraId="27A475A3" w14:textId="77777777" w:rsidR="00966C1E" w:rsidRPr="006B1830" w:rsidRDefault="00966C1E" w:rsidP="00966C1E">
      <w:pPr>
        <w:numPr>
          <w:ilvl w:val="0"/>
          <w:numId w:val="2"/>
        </w:numPr>
        <w:autoSpaceDE w:val="0"/>
        <w:autoSpaceDN w:val="0"/>
        <w:adjustRightInd w:val="0"/>
        <w:rPr>
          <w:rFonts w:cs="Arial"/>
        </w:rPr>
      </w:pPr>
      <w:r w:rsidRPr="006B1830">
        <w:rPr>
          <w:rFonts w:cs="Arial"/>
        </w:rPr>
        <w:t>Regulations 105-106 of the Conservation of Habitats and Species Regulations 2017 state:</w:t>
      </w:r>
    </w:p>
    <w:p w14:paraId="6B41C940" w14:textId="77777777" w:rsidR="00966C1E" w:rsidRPr="006B1830" w:rsidRDefault="00966C1E" w:rsidP="00966C1E">
      <w:pPr>
        <w:autoSpaceDE w:val="0"/>
        <w:autoSpaceDN w:val="0"/>
        <w:adjustRightInd w:val="0"/>
        <w:ind w:left="720"/>
        <w:rPr>
          <w:rFonts w:cs="Arial"/>
        </w:rPr>
      </w:pPr>
    </w:p>
    <w:p w14:paraId="55D290B0" w14:textId="77777777" w:rsidR="00966C1E" w:rsidRPr="006B1830" w:rsidRDefault="00966C1E" w:rsidP="00966C1E">
      <w:pPr>
        <w:autoSpaceDE w:val="0"/>
        <w:autoSpaceDN w:val="0"/>
        <w:adjustRightInd w:val="0"/>
        <w:ind w:left="720"/>
        <w:rPr>
          <w:rFonts w:cs="Arial"/>
          <w:i/>
        </w:rPr>
      </w:pPr>
      <w:r w:rsidRPr="006B1830">
        <w:rPr>
          <w:rFonts w:cs="Arial"/>
        </w:rPr>
        <w:t>“</w:t>
      </w:r>
      <w:r w:rsidRPr="006B1830">
        <w:rPr>
          <w:rFonts w:cs="Arial"/>
          <w:i/>
        </w:rPr>
        <w:t>105.</w:t>
      </w:r>
      <w:proofErr w:type="gramStart"/>
      <w:r w:rsidRPr="006B1830">
        <w:rPr>
          <w:rFonts w:cs="Arial"/>
          <w:i/>
        </w:rPr>
        <w:t>—(</w:t>
      </w:r>
      <w:proofErr w:type="gramEnd"/>
      <w:r w:rsidRPr="006B1830">
        <w:rPr>
          <w:rFonts w:cs="Arial"/>
          <w:i/>
        </w:rPr>
        <w:t>1) Where a land use plan—</w:t>
      </w:r>
    </w:p>
    <w:p w14:paraId="0A059445" w14:textId="77777777" w:rsidR="00966C1E" w:rsidRPr="006B1830" w:rsidRDefault="00966C1E" w:rsidP="00966C1E">
      <w:pPr>
        <w:pStyle w:val="ListParagraph"/>
        <w:numPr>
          <w:ilvl w:val="0"/>
          <w:numId w:val="21"/>
        </w:numPr>
        <w:autoSpaceDE w:val="0"/>
        <w:autoSpaceDN w:val="0"/>
        <w:adjustRightInd w:val="0"/>
        <w:rPr>
          <w:rFonts w:cs="Arial"/>
          <w:i/>
        </w:rPr>
      </w:pPr>
      <w:r w:rsidRPr="006B1830">
        <w:rPr>
          <w:rFonts w:cs="Arial"/>
          <w:i/>
        </w:rPr>
        <w:lastRenderedPageBreak/>
        <w:t>is likely to have a significant effect on a European site or a European offshore marine site (either alone or in combination with other plans or projects), and</w:t>
      </w:r>
    </w:p>
    <w:p w14:paraId="1315D6DD" w14:textId="77777777" w:rsidR="00966C1E" w:rsidRPr="006B1830" w:rsidRDefault="00966C1E" w:rsidP="00966C1E">
      <w:pPr>
        <w:pStyle w:val="ListParagraph"/>
        <w:numPr>
          <w:ilvl w:val="0"/>
          <w:numId w:val="21"/>
        </w:numPr>
        <w:autoSpaceDE w:val="0"/>
        <w:autoSpaceDN w:val="0"/>
        <w:adjustRightInd w:val="0"/>
        <w:rPr>
          <w:rFonts w:cs="Arial"/>
          <w:i/>
        </w:rPr>
      </w:pPr>
      <w:r w:rsidRPr="006B1830">
        <w:rPr>
          <w:rFonts w:cs="Arial"/>
          <w:i/>
        </w:rPr>
        <w:t>is not directly connected with or necessary to the management of the site,</w:t>
      </w:r>
    </w:p>
    <w:p w14:paraId="47E08DD0" w14:textId="77777777" w:rsidR="00966C1E" w:rsidRPr="006B1830" w:rsidRDefault="00966C1E" w:rsidP="00966C1E">
      <w:pPr>
        <w:autoSpaceDE w:val="0"/>
        <w:autoSpaceDN w:val="0"/>
        <w:adjustRightInd w:val="0"/>
        <w:ind w:left="1080"/>
        <w:rPr>
          <w:rFonts w:cs="Arial"/>
          <w:i/>
        </w:rPr>
      </w:pPr>
      <w:r w:rsidRPr="006B1830">
        <w:rPr>
          <w:rFonts w:cs="Arial"/>
          <w:i/>
        </w:rPr>
        <w:t>the plan-making authority for that plan must, before the plan is given effect, make an appropriate assessment of the implications for the site in view of that site’s conservation objectives.</w:t>
      </w:r>
    </w:p>
    <w:p w14:paraId="0CAD40E1" w14:textId="77777777" w:rsidR="00966C1E" w:rsidRPr="006B1830" w:rsidRDefault="00966C1E" w:rsidP="00966C1E">
      <w:pPr>
        <w:autoSpaceDE w:val="0"/>
        <w:autoSpaceDN w:val="0"/>
        <w:adjustRightInd w:val="0"/>
        <w:ind w:left="720"/>
        <w:rPr>
          <w:rFonts w:cs="Arial"/>
          <w:i/>
        </w:rPr>
      </w:pPr>
    </w:p>
    <w:p w14:paraId="6D9EA2D2" w14:textId="77777777" w:rsidR="00966C1E" w:rsidRPr="006B1830" w:rsidRDefault="00966C1E" w:rsidP="00966C1E">
      <w:pPr>
        <w:autoSpaceDE w:val="0"/>
        <w:autoSpaceDN w:val="0"/>
        <w:adjustRightInd w:val="0"/>
        <w:ind w:left="720"/>
        <w:rPr>
          <w:rFonts w:cs="Arial"/>
          <w:i/>
        </w:rPr>
      </w:pPr>
      <w:r w:rsidRPr="006B1830">
        <w:rPr>
          <w:rFonts w:cs="Arial"/>
          <w:i/>
        </w:rPr>
        <w:t>(2) The plan-making authority must for the purposes of the assessment consult the appropriate nature conservation body and have regard to any representations made by that body within such reasonable time as the authority specifies.</w:t>
      </w:r>
    </w:p>
    <w:p w14:paraId="79D93D22" w14:textId="77777777" w:rsidR="00966C1E" w:rsidRPr="006B1830" w:rsidRDefault="00966C1E" w:rsidP="00966C1E">
      <w:pPr>
        <w:autoSpaceDE w:val="0"/>
        <w:autoSpaceDN w:val="0"/>
        <w:adjustRightInd w:val="0"/>
        <w:ind w:left="720"/>
        <w:rPr>
          <w:rFonts w:cs="Arial"/>
          <w:i/>
        </w:rPr>
      </w:pPr>
    </w:p>
    <w:p w14:paraId="1E0B4275" w14:textId="77777777" w:rsidR="00966C1E" w:rsidRPr="006B1830" w:rsidRDefault="00966C1E" w:rsidP="00966C1E">
      <w:pPr>
        <w:autoSpaceDE w:val="0"/>
        <w:autoSpaceDN w:val="0"/>
        <w:adjustRightInd w:val="0"/>
        <w:ind w:left="720"/>
        <w:rPr>
          <w:rFonts w:cs="Arial"/>
          <w:i/>
        </w:rPr>
      </w:pPr>
      <w:r w:rsidRPr="006B1830">
        <w:rPr>
          <w:rFonts w:cs="Arial"/>
          <w:i/>
        </w:rPr>
        <w:t>(3) The plan-making authority must also, if it considers it appropriate, take the opinion of the general public, and if it does so, it must take such steps for that purpose as it considers appropriate.</w:t>
      </w:r>
    </w:p>
    <w:p w14:paraId="310134C8" w14:textId="77777777" w:rsidR="00966C1E" w:rsidRPr="006B1830" w:rsidRDefault="00966C1E" w:rsidP="00966C1E">
      <w:pPr>
        <w:autoSpaceDE w:val="0"/>
        <w:autoSpaceDN w:val="0"/>
        <w:adjustRightInd w:val="0"/>
        <w:ind w:left="720"/>
        <w:rPr>
          <w:rFonts w:cs="Arial"/>
          <w:i/>
        </w:rPr>
      </w:pPr>
    </w:p>
    <w:p w14:paraId="1652B1ED" w14:textId="77777777" w:rsidR="00966C1E" w:rsidRPr="006B1830" w:rsidRDefault="00966C1E" w:rsidP="00966C1E">
      <w:pPr>
        <w:autoSpaceDE w:val="0"/>
        <w:autoSpaceDN w:val="0"/>
        <w:adjustRightInd w:val="0"/>
        <w:ind w:left="720"/>
        <w:rPr>
          <w:rFonts w:cs="Arial"/>
          <w:i/>
        </w:rPr>
      </w:pPr>
      <w:r w:rsidRPr="006B1830">
        <w:rPr>
          <w:rFonts w:cs="Arial"/>
          <w:i/>
        </w:rPr>
        <w:t>(4) In the light of the conclusions of the assessment, and subject to regulation 107, the plan-making authority must give effect to the land use plan only after having ascertained that it will not adversely affect the integrity of the European site or the European offshore marine site (as the case may be).</w:t>
      </w:r>
    </w:p>
    <w:p w14:paraId="7D809FB2" w14:textId="77777777" w:rsidR="00966C1E" w:rsidRPr="006B1830" w:rsidRDefault="00966C1E" w:rsidP="00966C1E">
      <w:pPr>
        <w:autoSpaceDE w:val="0"/>
        <w:autoSpaceDN w:val="0"/>
        <w:adjustRightInd w:val="0"/>
        <w:ind w:left="720"/>
        <w:rPr>
          <w:rFonts w:cs="Arial"/>
          <w:i/>
        </w:rPr>
      </w:pPr>
    </w:p>
    <w:p w14:paraId="4A7B5E42" w14:textId="77777777" w:rsidR="00966C1E" w:rsidRPr="006B1830" w:rsidRDefault="00966C1E" w:rsidP="00966C1E">
      <w:pPr>
        <w:autoSpaceDE w:val="0"/>
        <w:autoSpaceDN w:val="0"/>
        <w:adjustRightInd w:val="0"/>
        <w:ind w:left="720"/>
        <w:rPr>
          <w:rFonts w:cs="Arial"/>
          <w:i/>
        </w:rPr>
      </w:pPr>
      <w:r w:rsidRPr="006B1830">
        <w:rPr>
          <w:rFonts w:cs="Arial"/>
          <w:i/>
        </w:rPr>
        <w:t>(5) A plan-making authority must provide such information as the appropriate authority may reasonably require for the purposes of the discharge by the appropriate authority of its obligations under this Chapter.</w:t>
      </w:r>
    </w:p>
    <w:p w14:paraId="79DBE7B5" w14:textId="77777777" w:rsidR="00966C1E" w:rsidRPr="006B1830" w:rsidRDefault="00966C1E" w:rsidP="00966C1E">
      <w:pPr>
        <w:autoSpaceDE w:val="0"/>
        <w:autoSpaceDN w:val="0"/>
        <w:adjustRightInd w:val="0"/>
        <w:ind w:left="720"/>
        <w:rPr>
          <w:rFonts w:cs="Arial"/>
          <w:i/>
        </w:rPr>
      </w:pPr>
    </w:p>
    <w:p w14:paraId="045513E0" w14:textId="77777777" w:rsidR="00966C1E" w:rsidRPr="006B1830" w:rsidRDefault="00966C1E" w:rsidP="00966C1E">
      <w:pPr>
        <w:autoSpaceDE w:val="0"/>
        <w:autoSpaceDN w:val="0"/>
        <w:adjustRightInd w:val="0"/>
        <w:ind w:left="720"/>
        <w:rPr>
          <w:rFonts w:cs="Arial"/>
          <w:i/>
        </w:rPr>
      </w:pPr>
      <w:r w:rsidRPr="006B1830">
        <w:rPr>
          <w:rFonts w:cs="Arial"/>
          <w:i/>
        </w:rPr>
        <w:t>(6) This regulation does not apply in relation to a site which is—</w:t>
      </w:r>
    </w:p>
    <w:p w14:paraId="4EE83B6F" w14:textId="77777777" w:rsidR="00966C1E" w:rsidRPr="006B1830" w:rsidRDefault="00966C1E" w:rsidP="00966C1E">
      <w:pPr>
        <w:pStyle w:val="ListParagraph"/>
        <w:numPr>
          <w:ilvl w:val="0"/>
          <w:numId w:val="22"/>
        </w:numPr>
        <w:autoSpaceDE w:val="0"/>
        <w:autoSpaceDN w:val="0"/>
        <w:adjustRightInd w:val="0"/>
        <w:rPr>
          <w:rFonts w:cs="Arial"/>
          <w:i/>
        </w:rPr>
      </w:pPr>
      <w:r w:rsidRPr="006B1830">
        <w:rPr>
          <w:rFonts w:cs="Arial"/>
          <w:i/>
        </w:rPr>
        <w:t>a European site by reason of regulation 8(1)(c), or</w:t>
      </w:r>
    </w:p>
    <w:p w14:paraId="3E3D00F8" w14:textId="77777777" w:rsidR="00966C1E" w:rsidRPr="006B1830" w:rsidRDefault="00966C1E" w:rsidP="00966C1E">
      <w:pPr>
        <w:pStyle w:val="ListParagraph"/>
        <w:numPr>
          <w:ilvl w:val="0"/>
          <w:numId w:val="22"/>
        </w:numPr>
        <w:autoSpaceDE w:val="0"/>
        <w:autoSpaceDN w:val="0"/>
        <w:adjustRightInd w:val="0"/>
        <w:rPr>
          <w:rFonts w:cs="Arial"/>
          <w:i/>
        </w:rPr>
      </w:pPr>
      <w:r w:rsidRPr="006B1830">
        <w:rPr>
          <w:rFonts w:cs="Arial"/>
          <w:i/>
        </w:rPr>
        <w:t>a European offshore marine site by reason of regulation 18(c) of the Offshore Marine Conservation Regulations (site protected in accordance with Article 5(4) of the Habitats Directive).</w:t>
      </w:r>
    </w:p>
    <w:p w14:paraId="455AF64C" w14:textId="77777777" w:rsidR="00966C1E" w:rsidRPr="006B1830" w:rsidRDefault="00966C1E" w:rsidP="00966C1E">
      <w:pPr>
        <w:autoSpaceDE w:val="0"/>
        <w:autoSpaceDN w:val="0"/>
        <w:adjustRightInd w:val="0"/>
        <w:ind w:left="720"/>
        <w:rPr>
          <w:rFonts w:cs="Arial"/>
          <w:i/>
        </w:rPr>
      </w:pPr>
    </w:p>
    <w:p w14:paraId="4DA79108" w14:textId="77777777" w:rsidR="00966C1E" w:rsidRPr="006B1830" w:rsidRDefault="00966C1E" w:rsidP="00966C1E">
      <w:pPr>
        <w:autoSpaceDE w:val="0"/>
        <w:autoSpaceDN w:val="0"/>
        <w:adjustRightInd w:val="0"/>
        <w:ind w:left="720"/>
        <w:rPr>
          <w:rFonts w:cs="Arial"/>
          <w:i/>
        </w:rPr>
      </w:pPr>
      <w:r w:rsidRPr="006B1830">
        <w:rPr>
          <w:rFonts w:cs="Arial"/>
          <w:i/>
        </w:rPr>
        <w:t>106.</w:t>
      </w:r>
      <w:proofErr w:type="gramStart"/>
      <w:r w:rsidRPr="006B1830">
        <w:rPr>
          <w:rFonts w:cs="Arial"/>
          <w:i/>
        </w:rPr>
        <w:t>—(</w:t>
      </w:r>
      <w:proofErr w:type="gramEnd"/>
      <w:r w:rsidRPr="006B1830">
        <w:rPr>
          <w:rFonts w:cs="Arial"/>
          <w:i/>
        </w:rPr>
        <w:t>1) A qualifying body which submits a proposal for a neighbourhood development plan must provide such information as the competent authority may reasonably require for the purposes of the assessment under regulation 105 or to enable it to determine whether that assessment is required.</w:t>
      </w:r>
    </w:p>
    <w:p w14:paraId="3073CE6D" w14:textId="77777777" w:rsidR="00966C1E" w:rsidRPr="006B1830" w:rsidRDefault="00966C1E" w:rsidP="00966C1E">
      <w:pPr>
        <w:autoSpaceDE w:val="0"/>
        <w:autoSpaceDN w:val="0"/>
        <w:adjustRightInd w:val="0"/>
        <w:ind w:left="720"/>
        <w:rPr>
          <w:rFonts w:cs="Arial"/>
          <w:i/>
        </w:rPr>
      </w:pPr>
    </w:p>
    <w:p w14:paraId="65C3025D" w14:textId="77777777" w:rsidR="00966C1E" w:rsidRPr="006B1830" w:rsidRDefault="00966C1E" w:rsidP="00966C1E">
      <w:pPr>
        <w:autoSpaceDE w:val="0"/>
        <w:autoSpaceDN w:val="0"/>
        <w:adjustRightInd w:val="0"/>
        <w:ind w:left="720"/>
        <w:rPr>
          <w:rFonts w:cs="Arial"/>
          <w:i/>
        </w:rPr>
      </w:pPr>
      <w:r w:rsidRPr="006B1830">
        <w:rPr>
          <w:rFonts w:cs="Arial"/>
          <w:i/>
        </w:rPr>
        <w:t xml:space="preserve">(2) In this regulation, “qualifying body” means a parish council, or an organisation or body designated as a neighbourhood forum, authorised for the purposes of a neighbourhood development plan to act in relation to a neighbourhood area as a result of section 61F of the TCPA 1990 (authorisation to act in relation to neighbourhood </w:t>
      </w:r>
      <w:proofErr w:type="gramStart"/>
      <w:r w:rsidRPr="006B1830">
        <w:rPr>
          <w:rFonts w:cs="Arial"/>
          <w:i/>
        </w:rPr>
        <w:t>areas)(</w:t>
      </w:r>
      <w:proofErr w:type="gramEnd"/>
      <w:r w:rsidRPr="006B1830">
        <w:rPr>
          <w:rFonts w:cs="Arial"/>
          <w:i/>
        </w:rPr>
        <w:t xml:space="preserve">159), as </w:t>
      </w:r>
      <w:r w:rsidRPr="006B1830">
        <w:rPr>
          <w:rFonts w:cs="Arial"/>
          <w:i/>
        </w:rPr>
        <w:lastRenderedPageBreak/>
        <w:t>applied by section 38C of the 2004 Planning Act (supplementary provisions)(160).</w:t>
      </w:r>
    </w:p>
    <w:p w14:paraId="053E90AA" w14:textId="77777777" w:rsidR="00966C1E" w:rsidRPr="006B1830" w:rsidRDefault="00966C1E" w:rsidP="00966C1E">
      <w:pPr>
        <w:autoSpaceDE w:val="0"/>
        <w:autoSpaceDN w:val="0"/>
        <w:adjustRightInd w:val="0"/>
        <w:ind w:left="720"/>
        <w:rPr>
          <w:rFonts w:cs="Arial"/>
          <w:i/>
        </w:rPr>
      </w:pPr>
    </w:p>
    <w:p w14:paraId="4C408C4B" w14:textId="77777777" w:rsidR="00966C1E" w:rsidRPr="006B1830" w:rsidRDefault="00966C1E" w:rsidP="00966C1E">
      <w:pPr>
        <w:autoSpaceDE w:val="0"/>
        <w:autoSpaceDN w:val="0"/>
        <w:adjustRightInd w:val="0"/>
        <w:ind w:left="720"/>
        <w:rPr>
          <w:rFonts w:cs="Arial"/>
          <w:i/>
        </w:rPr>
      </w:pPr>
      <w:r w:rsidRPr="006B1830">
        <w:rPr>
          <w:rFonts w:cs="Arial"/>
          <w:i/>
        </w:rPr>
        <w:t>(3) Where the competent authority decides to revoke or modify a neighbourhood development plan after it has been made, it must for that purpose make an appropriate assessment of the implications for any European site likely to be significantly affected in view of that site’s conservation objectives; and regulation 105 and paragraph (1) apply with the appropriate modifications in relation to such a revocation or modification.</w:t>
      </w:r>
    </w:p>
    <w:p w14:paraId="6352FE79" w14:textId="77777777" w:rsidR="00966C1E" w:rsidRPr="006B1830" w:rsidRDefault="00966C1E" w:rsidP="00966C1E">
      <w:pPr>
        <w:autoSpaceDE w:val="0"/>
        <w:autoSpaceDN w:val="0"/>
        <w:adjustRightInd w:val="0"/>
        <w:ind w:left="720"/>
        <w:rPr>
          <w:rFonts w:cs="Arial"/>
          <w:i/>
        </w:rPr>
      </w:pPr>
    </w:p>
    <w:p w14:paraId="01F95103" w14:textId="77777777" w:rsidR="00966C1E" w:rsidRPr="006B1830" w:rsidRDefault="00966C1E" w:rsidP="00966C1E">
      <w:pPr>
        <w:autoSpaceDE w:val="0"/>
        <w:autoSpaceDN w:val="0"/>
        <w:adjustRightInd w:val="0"/>
        <w:ind w:left="720"/>
        <w:rPr>
          <w:rFonts w:cs="Arial"/>
        </w:rPr>
      </w:pPr>
      <w:r w:rsidRPr="006B1830">
        <w:rPr>
          <w:rFonts w:cs="Arial"/>
          <w:i/>
        </w:rPr>
        <w:t>(4) This regulation applies in relation to England only</w:t>
      </w:r>
      <w:r w:rsidRPr="006B1830">
        <w:rPr>
          <w:rFonts w:cs="Arial"/>
        </w:rPr>
        <w:t>.”</w:t>
      </w:r>
    </w:p>
    <w:p w14:paraId="54A58687" w14:textId="77777777" w:rsidR="00966C1E" w:rsidRPr="006B1830" w:rsidRDefault="00966C1E" w:rsidP="00966C1E">
      <w:pPr>
        <w:autoSpaceDE w:val="0"/>
        <w:autoSpaceDN w:val="0"/>
        <w:adjustRightInd w:val="0"/>
        <w:rPr>
          <w:rFonts w:cs="Arial"/>
          <w:i/>
          <w:iCs/>
        </w:rPr>
      </w:pPr>
    </w:p>
    <w:p w14:paraId="6D26C9DA" w14:textId="77777777" w:rsidR="00966C1E" w:rsidRPr="006B1830" w:rsidRDefault="00966C1E" w:rsidP="00966C1E">
      <w:pPr>
        <w:autoSpaceDE w:val="0"/>
        <w:autoSpaceDN w:val="0"/>
        <w:adjustRightInd w:val="0"/>
        <w:rPr>
          <w:rStyle w:val="Heading4"/>
        </w:rPr>
      </w:pPr>
    </w:p>
    <w:p w14:paraId="041A94C1" w14:textId="77777777" w:rsidR="00966C1E" w:rsidRPr="006B1830" w:rsidRDefault="00966C1E" w:rsidP="00966C1E">
      <w:pPr>
        <w:autoSpaceDE w:val="0"/>
        <w:autoSpaceDN w:val="0"/>
        <w:adjustRightInd w:val="0"/>
        <w:rPr>
          <w:rStyle w:val="Heading4"/>
        </w:rPr>
      </w:pPr>
      <w:r>
        <w:rPr>
          <w:rStyle w:val="Heading4"/>
        </w:rPr>
        <w:t>European Sites</w:t>
      </w:r>
      <w:r w:rsidRPr="006B1830">
        <w:rPr>
          <w:rStyle w:val="Heading4"/>
        </w:rPr>
        <w:t xml:space="preserve"> </w:t>
      </w:r>
    </w:p>
    <w:p w14:paraId="0AC95A9A" w14:textId="77777777" w:rsidR="00966C1E" w:rsidRDefault="00966C1E" w:rsidP="00966C1E">
      <w:pPr>
        <w:autoSpaceDE w:val="0"/>
        <w:autoSpaceDN w:val="0"/>
        <w:adjustRightInd w:val="0"/>
        <w:rPr>
          <w:rFonts w:cs="Arial"/>
        </w:rPr>
      </w:pPr>
    </w:p>
    <w:p w14:paraId="69A5790B" w14:textId="77777777" w:rsidR="00966C1E" w:rsidRPr="00D05B91" w:rsidRDefault="00966C1E" w:rsidP="00966C1E">
      <w:pPr>
        <w:pStyle w:val="ListParagraph"/>
        <w:numPr>
          <w:ilvl w:val="0"/>
          <w:numId w:val="2"/>
        </w:numPr>
        <w:autoSpaceDE w:val="0"/>
        <w:autoSpaceDN w:val="0"/>
        <w:adjustRightInd w:val="0"/>
        <w:rPr>
          <w:rFonts w:cs="Arial"/>
        </w:rPr>
      </w:pPr>
      <w:r w:rsidRPr="00D05B91">
        <w:rPr>
          <w:rFonts w:cs="Arial"/>
        </w:rPr>
        <w:t xml:space="preserve">There are two European sites with the Vale of White Horse District – Cothill Fen SAC and </w:t>
      </w:r>
      <w:proofErr w:type="spellStart"/>
      <w:r w:rsidRPr="00D05B91">
        <w:rPr>
          <w:rFonts w:cs="Arial"/>
        </w:rPr>
        <w:t>Hackpen</w:t>
      </w:r>
      <w:proofErr w:type="spellEnd"/>
      <w:r w:rsidRPr="00D05B91">
        <w:rPr>
          <w:rFonts w:cs="Arial"/>
        </w:rPr>
        <w:t xml:space="preserve"> Hill SAC. European sites also lie in adjoining districts and those with potential for longer range and indirect effects include Oxford Meadows SAC (Oxford City) and Little Wittenham SAC (South Oxfordshire). The </w:t>
      </w:r>
      <w:r>
        <w:rPr>
          <w:rFonts w:cs="Arial"/>
        </w:rPr>
        <w:t>Wantage</w:t>
      </w:r>
      <w:r w:rsidRPr="00D05B91">
        <w:rPr>
          <w:rFonts w:cs="Arial"/>
        </w:rPr>
        <w:t xml:space="preserve"> NDP has the following relationships with these areas:</w:t>
      </w:r>
    </w:p>
    <w:p w14:paraId="0C21968E" w14:textId="77777777" w:rsidR="00966C1E" w:rsidRPr="00D05B91" w:rsidRDefault="00966C1E" w:rsidP="00966C1E">
      <w:pPr>
        <w:autoSpaceDE w:val="0"/>
        <w:autoSpaceDN w:val="0"/>
        <w:adjustRightInd w:val="0"/>
        <w:rPr>
          <w:rFonts w:cs="Arial"/>
        </w:rPr>
      </w:pPr>
    </w:p>
    <w:p w14:paraId="1F92A5A3" w14:textId="4F655412" w:rsidR="001225DE" w:rsidRDefault="001225DE" w:rsidP="00966C1E">
      <w:pPr>
        <w:pStyle w:val="ListParagraph"/>
        <w:numPr>
          <w:ilvl w:val="2"/>
          <w:numId w:val="2"/>
        </w:numPr>
        <w:autoSpaceDE w:val="0"/>
        <w:autoSpaceDN w:val="0"/>
        <w:adjustRightInd w:val="0"/>
        <w:rPr>
          <w:rFonts w:cs="Arial"/>
        </w:rPr>
      </w:pPr>
      <w:r>
        <w:rPr>
          <w:rFonts w:cs="Arial"/>
        </w:rPr>
        <w:t>River Lambourne SAC (Approx</w:t>
      </w:r>
      <w:r w:rsidR="00CC2627">
        <w:rPr>
          <w:rFonts w:cs="Arial"/>
        </w:rPr>
        <w:t>.</w:t>
      </w:r>
      <w:r>
        <w:rPr>
          <w:rFonts w:cs="Arial"/>
        </w:rPr>
        <w:t xml:space="preserve"> 7km)</w:t>
      </w:r>
    </w:p>
    <w:p w14:paraId="7F998D37" w14:textId="7E0EF9D0" w:rsidR="00966C1E" w:rsidRDefault="00966C1E" w:rsidP="00966C1E">
      <w:pPr>
        <w:pStyle w:val="ListParagraph"/>
        <w:numPr>
          <w:ilvl w:val="2"/>
          <w:numId w:val="2"/>
        </w:numPr>
        <w:autoSpaceDE w:val="0"/>
        <w:autoSpaceDN w:val="0"/>
        <w:adjustRightInd w:val="0"/>
        <w:rPr>
          <w:rFonts w:cs="Arial"/>
        </w:rPr>
      </w:pPr>
      <w:r w:rsidRPr="00D05B91">
        <w:rPr>
          <w:rFonts w:cs="Arial"/>
        </w:rPr>
        <w:t xml:space="preserve">Cothill Fen SAC (Approx. </w:t>
      </w:r>
      <w:r>
        <w:rPr>
          <w:rFonts w:cs="Arial"/>
        </w:rPr>
        <w:t>13</w:t>
      </w:r>
      <w:r w:rsidRPr="00D05B91">
        <w:rPr>
          <w:rFonts w:cs="Arial"/>
        </w:rPr>
        <w:t>km)</w:t>
      </w:r>
    </w:p>
    <w:p w14:paraId="40CB69B2" w14:textId="77777777" w:rsidR="00966C1E" w:rsidRDefault="00966C1E" w:rsidP="00966C1E">
      <w:pPr>
        <w:pStyle w:val="ListParagraph"/>
        <w:numPr>
          <w:ilvl w:val="2"/>
          <w:numId w:val="2"/>
        </w:numPr>
        <w:autoSpaceDE w:val="0"/>
        <w:autoSpaceDN w:val="0"/>
        <w:adjustRightInd w:val="0"/>
        <w:rPr>
          <w:rFonts w:cs="Arial"/>
        </w:rPr>
      </w:pPr>
      <w:r w:rsidRPr="00D05B91">
        <w:rPr>
          <w:rFonts w:cs="Arial"/>
        </w:rPr>
        <w:t xml:space="preserve">Little Wittenham SAC (Approx. </w:t>
      </w:r>
      <w:r>
        <w:rPr>
          <w:rFonts w:cs="Arial"/>
        </w:rPr>
        <w:t>18</w:t>
      </w:r>
      <w:r w:rsidRPr="00D05B91">
        <w:rPr>
          <w:rFonts w:cs="Arial"/>
        </w:rPr>
        <w:t>km)</w:t>
      </w:r>
    </w:p>
    <w:p w14:paraId="56A2AF19" w14:textId="77777777" w:rsidR="00966C1E" w:rsidRDefault="00966C1E" w:rsidP="00966C1E">
      <w:pPr>
        <w:pStyle w:val="ListParagraph"/>
        <w:numPr>
          <w:ilvl w:val="2"/>
          <w:numId w:val="2"/>
        </w:numPr>
        <w:autoSpaceDE w:val="0"/>
        <w:autoSpaceDN w:val="0"/>
        <w:adjustRightInd w:val="0"/>
        <w:rPr>
          <w:rFonts w:cs="Arial"/>
        </w:rPr>
      </w:pPr>
      <w:proofErr w:type="spellStart"/>
      <w:r w:rsidRPr="00D05B91">
        <w:rPr>
          <w:rFonts w:cs="Arial"/>
        </w:rPr>
        <w:t>Hackpen</w:t>
      </w:r>
      <w:proofErr w:type="spellEnd"/>
      <w:r w:rsidRPr="00D05B91">
        <w:rPr>
          <w:rFonts w:cs="Arial"/>
        </w:rPr>
        <w:t xml:space="preserve"> Hill SAC (Approx. </w:t>
      </w:r>
      <w:r>
        <w:rPr>
          <w:rFonts w:cs="Arial"/>
        </w:rPr>
        <w:t>3</w:t>
      </w:r>
      <w:r w:rsidRPr="00D05B91">
        <w:rPr>
          <w:rFonts w:cs="Arial"/>
        </w:rPr>
        <w:t>km)</w:t>
      </w:r>
    </w:p>
    <w:p w14:paraId="3A243F54" w14:textId="77777777" w:rsidR="00966C1E" w:rsidRPr="00D05B91" w:rsidRDefault="00966C1E" w:rsidP="00966C1E">
      <w:pPr>
        <w:pStyle w:val="ListParagraph"/>
        <w:numPr>
          <w:ilvl w:val="2"/>
          <w:numId w:val="2"/>
        </w:numPr>
        <w:autoSpaceDE w:val="0"/>
        <w:autoSpaceDN w:val="0"/>
        <w:adjustRightInd w:val="0"/>
        <w:rPr>
          <w:rFonts w:cs="Arial"/>
        </w:rPr>
      </w:pPr>
      <w:r w:rsidRPr="00D05B91">
        <w:rPr>
          <w:rFonts w:cs="Arial"/>
        </w:rPr>
        <w:t xml:space="preserve">Oxford Meadows SAC (Approx. </w:t>
      </w:r>
      <w:r>
        <w:rPr>
          <w:rFonts w:cs="Arial"/>
        </w:rPr>
        <w:t>22</w:t>
      </w:r>
      <w:r w:rsidRPr="00D05B91">
        <w:rPr>
          <w:rFonts w:cs="Arial"/>
        </w:rPr>
        <w:t>km)</w:t>
      </w:r>
    </w:p>
    <w:p w14:paraId="1B9E4CEA" w14:textId="77777777" w:rsidR="00966C1E" w:rsidRPr="00D05B91" w:rsidRDefault="00966C1E" w:rsidP="00966C1E">
      <w:pPr>
        <w:autoSpaceDE w:val="0"/>
        <w:autoSpaceDN w:val="0"/>
        <w:adjustRightInd w:val="0"/>
        <w:rPr>
          <w:rFonts w:cs="Arial"/>
        </w:rPr>
      </w:pPr>
    </w:p>
    <w:p w14:paraId="03164533" w14:textId="77777777" w:rsidR="00CC2627" w:rsidRDefault="00CC2627" w:rsidP="00966C1E">
      <w:pPr>
        <w:autoSpaceDE w:val="0"/>
        <w:autoSpaceDN w:val="0"/>
        <w:adjustRightInd w:val="0"/>
        <w:rPr>
          <w:rFonts w:cs="Arial"/>
          <w:u w:val="single"/>
        </w:rPr>
      </w:pPr>
    </w:p>
    <w:p w14:paraId="54EB9BBA" w14:textId="7D5728BA" w:rsidR="00966C1E" w:rsidRPr="00D05B91" w:rsidRDefault="00966C1E" w:rsidP="00966C1E">
      <w:pPr>
        <w:autoSpaceDE w:val="0"/>
        <w:autoSpaceDN w:val="0"/>
        <w:adjustRightInd w:val="0"/>
        <w:rPr>
          <w:rFonts w:cs="Arial"/>
          <w:u w:val="single"/>
        </w:rPr>
      </w:pPr>
      <w:r w:rsidRPr="00D05B91">
        <w:rPr>
          <w:rFonts w:cs="Arial"/>
          <w:u w:val="single"/>
        </w:rPr>
        <w:t xml:space="preserve">Cothill Fen SAC (Approx. </w:t>
      </w:r>
      <w:r>
        <w:rPr>
          <w:rFonts w:cs="Arial"/>
          <w:u w:val="single"/>
        </w:rPr>
        <w:t>13</w:t>
      </w:r>
      <w:r w:rsidRPr="00D05B91">
        <w:rPr>
          <w:rFonts w:cs="Arial"/>
          <w:u w:val="single"/>
        </w:rPr>
        <w:t>km)</w:t>
      </w:r>
    </w:p>
    <w:p w14:paraId="6DC202F0" w14:textId="77777777" w:rsidR="00966C1E" w:rsidRPr="00D05B91" w:rsidRDefault="00966C1E" w:rsidP="00966C1E">
      <w:pPr>
        <w:autoSpaceDE w:val="0"/>
        <w:autoSpaceDN w:val="0"/>
        <w:adjustRightInd w:val="0"/>
        <w:rPr>
          <w:rFonts w:cs="Arial"/>
        </w:rPr>
      </w:pPr>
    </w:p>
    <w:p w14:paraId="46F79F42" w14:textId="77777777" w:rsidR="00966C1E" w:rsidRDefault="00966C1E" w:rsidP="00966C1E">
      <w:pPr>
        <w:pStyle w:val="ListParagraph"/>
        <w:numPr>
          <w:ilvl w:val="0"/>
          <w:numId w:val="2"/>
        </w:numPr>
        <w:autoSpaceDE w:val="0"/>
        <w:autoSpaceDN w:val="0"/>
        <w:adjustRightInd w:val="0"/>
        <w:rPr>
          <w:rFonts w:cs="Arial"/>
        </w:rPr>
      </w:pPr>
      <w:r w:rsidRPr="00D05B91">
        <w:rPr>
          <w:rFonts w:cs="Arial"/>
        </w:rPr>
        <w:t>Cothill Fen is designated as a SAC for its calcium-rich, spring fed fens and alder woodlands on floodplains.</w:t>
      </w:r>
    </w:p>
    <w:p w14:paraId="24A57A60" w14:textId="77777777" w:rsidR="00966C1E" w:rsidRPr="00D05B91" w:rsidRDefault="00966C1E" w:rsidP="00966C1E">
      <w:pPr>
        <w:pStyle w:val="ListParagraph"/>
        <w:numPr>
          <w:ilvl w:val="0"/>
          <w:numId w:val="2"/>
        </w:numPr>
        <w:autoSpaceDE w:val="0"/>
        <w:autoSpaceDN w:val="0"/>
        <w:adjustRightInd w:val="0"/>
        <w:rPr>
          <w:rFonts w:cs="Arial"/>
        </w:rPr>
      </w:pPr>
      <w:r w:rsidRPr="00D05B91">
        <w:rPr>
          <w:rFonts w:cs="Arial"/>
        </w:rPr>
        <w:t>The main pressures and threats to this site include the impact of water pollution and hydrological changes, as well as air pollution and the impact of atmospheric nitrogen deposition upon the calcium-rich water-fed fens.</w:t>
      </w:r>
    </w:p>
    <w:p w14:paraId="7B546EB7" w14:textId="77777777" w:rsidR="00966C1E" w:rsidRPr="00D05B91" w:rsidRDefault="00966C1E" w:rsidP="00966C1E">
      <w:pPr>
        <w:autoSpaceDE w:val="0"/>
        <w:autoSpaceDN w:val="0"/>
        <w:adjustRightInd w:val="0"/>
        <w:rPr>
          <w:rFonts w:cs="Arial"/>
        </w:rPr>
      </w:pPr>
    </w:p>
    <w:p w14:paraId="71286B5F" w14:textId="77777777" w:rsidR="00966C1E" w:rsidRPr="00D05B91" w:rsidRDefault="00966C1E" w:rsidP="00966C1E">
      <w:pPr>
        <w:autoSpaceDE w:val="0"/>
        <w:autoSpaceDN w:val="0"/>
        <w:adjustRightInd w:val="0"/>
        <w:rPr>
          <w:rFonts w:cs="Arial"/>
          <w:u w:val="single"/>
        </w:rPr>
      </w:pPr>
      <w:r w:rsidRPr="00D05B91">
        <w:rPr>
          <w:rFonts w:cs="Arial"/>
          <w:u w:val="single"/>
        </w:rPr>
        <w:t xml:space="preserve">Little </w:t>
      </w:r>
      <w:proofErr w:type="spellStart"/>
      <w:r w:rsidRPr="00D05B91">
        <w:rPr>
          <w:rFonts w:cs="Arial"/>
          <w:u w:val="single"/>
        </w:rPr>
        <w:t>Whittenham</w:t>
      </w:r>
      <w:proofErr w:type="spellEnd"/>
      <w:r w:rsidRPr="00D05B91">
        <w:rPr>
          <w:rFonts w:cs="Arial"/>
          <w:u w:val="single"/>
        </w:rPr>
        <w:t xml:space="preserve"> SAC (Approx. </w:t>
      </w:r>
      <w:r>
        <w:rPr>
          <w:rFonts w:cs="Arial"/>
          <w:u w:val="single"/>
        </w:rPr>
        <w:t>18</w:t>
      </w:r>
      <w:r w:rsidRPr="00D05B91">
        <w:rPr>
          <w:rFonts w:cs="Arial"/>
          <w:u w:val="single"/>
        </w:rPr>
        <w:t>km)</w:t>
      </w:r>
    </w:p>
    <w:p w14:paraId="36AC1652" w14:textId="77777777" w:rsidR="00966C1E" w:rsidRPr="00D05B91" w:rsidRDefault="00966C1E" w:rsidP="00966C1E">
      <w:pPr>
        <w:autoSpaceDE w:val="0"/>
        <w:autoSpaceDN w:val="0"/>
        <w:adjustRightInd w:val="0"/>
        <w:rPr>
          <w:rFonts w:cs="Arial"/>
        </w:rPr>
      </w:pPr>
    </w:p>
    <w:p w14:paraId="02E1168B" w14:textId="77777777" w:rsidR="00966C1E" w:rsidRDefault="00966C1E" w:rsidP="00966C1E">
      <w:pPr>
        <w:pStyle w:val="ListParagraph"/>
        <w:numPr>
          <w:ilvl w:val="0"/>
          <w:numId w:val="2"/>
        </w:numPr>
        <w:autoSpaceDE w:val="0"/>
        <w:autoSpaceDN w:val="0"/>
        <w:adjustRightInd w:val="0"/>
        <w:rPr>
          <w:rFonts w:cs="Arial"/>
        </w:rPr>
      </w:pPr>
      <w:r w:rsidRPr="00D05B91">
        <w:rPr>
          <w:rFonts w:cs="Arial"/>
        </w:rPr>
        <w:lastRenderedPageBreak/>
        <w:t xml:space="preserve">One of the best studied great crested newt sites in the UK, Little Wittenham comprises two main ponds set in a predominantly woodland context (broadleaved and conifer woodland is present). There are also areas of grassland, with sheep grazing and arable bordering the woodland to the south and west. The </w:t>
      </w:r>
      <w:proofErr w:type="gramStart"/>
      <w:r w:rsidRPr="00D05B91">
        <w:rPr>
          <w:rFonts w:cs="Arial"/>
        </w:rPr>
        <w:t>River</w:t>
      </w:r>
      <w:proofErr w:type="gramEnd"/>
      <w:r w:rsidRPr="00D05B91">
        <w:rPr>
          <w:rFonts w:cs="Arial"/>
        </w:rPr>
        <w:t xml:space="preserve"> Thames is just to the north of the site, and a hill fort to the south. Large numbers of great crested newts Triturus </w:t>
      </w:r>
      <w:proofErr w:type="spellStart"/>
      <w:r w:rsidRPr="00D05B91">
        <w:rPr>
          <w:rFonts w:cs="Arial"/>
        </w:rPr>
        <w:t>cristatus</w:t>
      </w:r>
      <w:proofErr w:type="spellEnd"/>
      <w:r w:rsidRPr="00D05B91">
        <w:rPr>
          <w:rFonts w:cs="Arial"/>
        </w:rPr>
        <w:t xml:space="preserve"> have been recorded in the two main ponds, and research has revealed that they range several hundred metres into the woodland blocks.</w:t>
      </w:r>
    </w:p>
    <w:p w14:paraId="102A824E" w14:textId="77777777" w:rsidR="00966C1E" w:rsidRPr="00D05B91" w:rsidRDefault="00966C1E" w:rsidP="00966C1E">
      <w:pPr>
        <w:pStyle w:val="ListParagraph"/>
        <w:numPr>
          <w:ilvl w:val="0"/>
          <w:numId w:val="2"/>
        </w:numPr>
        <w:autoSpaceDE w:val="0"/>
        <w:autoSpaceDN w:val="0"/>
        <w:adjustRightInd w:val="0"/>
        <w:rPr>
          <w:rFonts w:cs="Arial"/>
        </w:rPr>
      </w:pPr>
      <w:r w:rsidRPr="00D05B91">
        <w:rPr>
          <w:rFonts w:cs="Arial"/>
        </w:rPr>
        <w:t xml:space="preserve">The main pressures and threats to this site include the impact of public access and disturbance, and invasive fish species upon great crested newt. </w:t>
      </w:r>
    </w:p>
    <w:p w14:paraId="49D59978" w14:textId="77777777" w:rsidR="00966C1E" w:rsidRPr="00D05B91" w:rsidRDefault="00966C1E" w:rsidP="00966C1E">
      <w:pPr>
        <w:autoSpaceDE w:val="0"/>
        <w:autoSpaceDN w:val="0"/>
        <w:adjustRightInd w:val="0"/>
        <w:rPr>
          <w:rFonts w:cs="Arial"/>
        </w:rPr>
      </w:pPr>
    </w:p>
    <w:p w14:paraId="226D64BE" w14:textId="77777777" w:rsidR="00966C1E" w:rsidRPr="00D05B91" w:rsidRDefault="00966C1E" w:rsidP="00966C1E">
      <w:pPr>
        <w:autoSpaceDE w:val="0"/>
        <w:autoSpaceDN w:val="0"/>
        <w:adjustRightInd w:val="0"/>
        <w:rPr>
          <w:rFonts w:cs="Arial"/>
          <w:u w:val="single"/>
        </w:rPr>
      </w:pPr>
      <w:proofErr w:type="spellStart"/>
      <w:r w:rsidRPr="00D05B91">
        <w:rPr>
          <w:rFonts w:cs="Arial"/>
          <w:u w:val="single"/>
        </w:rPr>
        <w:t>Hackpen</w:t>
      </w:r>
      <w:proofErr w:type="spellEnd"/>
      <w:r w:rsidRPr="00D05B91">
        <w:rPr>
          <w:rFonts w:cs="Arial"/>
          <w:u w:val="single"/>
        </w:rPr>
        <w:t xml:space="preserve"> Hill SAC (Approx. </w:t>
      </w:r>
      <w:r>
        <w:rPr>
          <w:rFonts w:cs="Arial"/>
          <w:u w:val="single"/>
        </w:rPr>
        <w:t>3</w:t>
      </w:r>
      <w:r w:rsidRPr="00D05B91">
        <w:rPr>
          <w:rFonts w:cs="Arial"/>
          <w:u w:val="single"/>
        </w:rPr>
        <w:t>km)</w:t>
      </w:r>
    </w:p>
    <w:p w14:paraId="59BE7FD3" w14:textId="77777777" w:rsidR="00966C1E" w:rsidRPr="00D05B91" w:rsidRDefault="00966C1E" w:rsidP="00966C1E">
      <w:pPr>
        <w:autoSpaceDE w:val="0"/>
        <w:autoSpaceDN w:val="0"/>
        <w:adjustRightInd w:val="0"/>
        <w:rPr>
          <w:rFonts w:cs="Arial"/>
        </w:rPr>
      </w:pPr>
    </w:p>
    <w:p w14:paraId="7C3AA155" w14:textId="77777777" w:rsidR="00966C1E" w:rsidRDefault="00966C1E" w:rsidP="00966C1E">
      <w:pPr>
        <w:pStyle w:val="ListParagraph"/>
        <w:numPr>
          <w:ilvl w:val="0"/>
          <w:numId w:val="2"/>
        </w:numPr>
        <w:autoSpaceDE w:val="0"/>
        <w:autoSpaceDN w:val="0"/>
        <w:adjustRightInd w:val="0"/>
        <w:rPr>
          <w:rFonts w:cs="Arial"/>
        </w:rPr>
      </w:pPr>
      <w:proofErr w:type="spellStart"/>
      <w:r w:rsidRPr="00D05B91">
        <w:rPr>
          <w:rFonts w:cs="Arial"/>
        </w:rPr>
        <w:t>Hackpen</w:t>
      </w:r>
      <w:proofErr w:type="spellEnd"/>
      <w:r w:rsidRPr="00D05B91">
        <w:rPr>
          <w:rFonts w:cs="Arial"/>
        </w:rPr>
        <w:t xml:space="preserve"> Hill has slopes with a wide variety of aspect and gradient. Most of the grassland is dominated by red fescue Festuca rubra, but this is replaced by upright brome Bromus erectus on some middle and lower slopes. The herb flora includes horseshoe vetch </w:t>
      </w:r>
      <w:proofErr w:type="spellStart"/>
      <w:r w:rsidRPr="00D05B91">
        <w:rPr>
          <w:rFonts w:cs="Arial"/>
        </w:rPr>
        <w:t>Hippocrepis</w:t>
      </w:r>
      <w:proofErr w:type="spellEnd"/>
      <w:r w:rsidRPr="00D05B91">
        <w:rPr>
          <w:rFonts w:cs="Arial"/>
        </w:rPr>
        <w:t xml:space="preserve"> </w:t>
      </w:r>
      <w:proofErr w:type="spellStart"/>
      <w:r w:rsidRPr="00D05B91">
        <w:rPr>
          <w:rFonts w:cs="Arial"/>
        </w:rPr>
        <w:t>comosa</w:t>
      </w:r>
      <w:proofErr w:type="spellEnd"/>
      <w:r w:rsidRPr="00D05B91">
        <w:rPr>
          <w:rFonts w:cs="Arial"/>
        </w:rPr>
        <w:t xml:space="preserve">, common rockrose Helianthemum </w:t>
      </w:r>
      <w:proofErr w:type="spellStart"/>
      <w:r w:rsidRPr="00D05B91">
        <w:rPr>
          <w:rFonts w:cs="Arial"/>
        </w:rPr>
        <w:t>nummularium</w:t>
      </w:r>
      <w:proofErr w:type="spellEnd"/>
      <w:r w:rsidRPr="00D05B91">
        <w:rPr>
          <w:rFonts w:cs="Arial"/>
        </w:rPr>
        <w:t xml:space="preserve">, dwarf thistle Cirsium </w:t>
      </w:r>
      <w:proofErr w:type="spellStart"/>
      <w:r w:rsidRPr="00D05B91">
        <w:rPr>
          <w:rFonts w:cs="Arial"/>
        </w:rPr>
        <w:t>acaule</w:t>
      </w:r>
      <w:proofErr w:type="spellEnd"/>
      <w:r w:rsidRPr="00D05B91">
        <w:rPr>
          <w:rFonts w:cs="Arial"/>
        </w:rPr>
        <w:t xml:space="preserve">, autumn gentian Gentianella </w:t>
      </w:r>
      <w:proofErr w:type="spellStart"/>
      <w:r w:rsidRPr="00D05B91">
        <w:rPr>
          <w:rFonts w:cs="Arial"/>
        </w:rPr>
        <w:t>amarella</w:t>
      </w:r>
      <w:proofErr w:type="spellEnd"/>
      <w:r w:rsidRPr="00D05B91">
        <w:rPr>
          <w:rFonts w:cs="Arial"/>
        </w:rPr>
        <w:t xml:space="preserve">, fragrant orchid </w:t>
      </w:r>
      <w:proofErr w:type="spellStart"/>
      <w:r w:rsidRPr="00D05B91">
        <w:rPr>
          <w:rFonts w:cs="Arial"/>
        </w:rPr>
        <w:t>Gymnadenia</w:t>
      </w:r>
      <w:proofErr w:type="spellEnd"/>
      <w:r w:rsidRPr="00D05B91">
        <w:rPr>
          <w:rFonts w:cs="Arial"/>
        </w:rPr>
        <w:t xml:space="preserve"> </w:t>
      </w:r>
      <w:proofErr w:type="spellStart"/>
      <w:r w:rsidRPr="00D05B91">
        <w:rPr>
          <w:rFonts w:cs="Arial"/>
        </w:rPr>
        <w:t>conopsea</w:t>
      </w:r>
      <w:proofErr w:type="spellEnd"/>
      <w:r w:rsidRPr="00D05B91">
        <w:rPr>
          <w:rFonts w:cs="Arial"/>
        </w:rPr>
        <w:t xml:space="preserve"> and frog orchid </w:t>
      </w:r>
      <w:proofErr w:type="spellStart"/>
      <w:r w:rsidRPr="00D05B91">
        <w:rPr>
          <w:rFonts w:cs="Arial"/>
        </w:rPr>
        <w:t>Coeloglossum</w:t>
      </w:r>
      <w:proofErr w:type="spellEnd"/>
      <w:r w:rsidRPr="00D05B91">
        <w:rPr>
          <w:rFonts w:cs="Arial"/>
        </w:rPr>
        <w:t xml:space="preserve"> </w:t>
      </w:r>
      <w:proofErr w:type="spellStart"/>
      <w:r w:rsidRPr="00D05B91">
        <w:rPr>
          <w:rFonts w:cs="Arial"/>
        </w:rPr>
        <w:t>viride</w:t>
      </w:r>
      <w:proofErr w:type="spellEnd"/>
      <w:r w:rsidRPr="00D05B91">
        <w:rPr>
          <w:rFonts w:cs="Arial"/>
        </w:rPr>
        <w:t xml:space="preserve">. An enclosed, </w:t>
      </w:r>
      <w:proofErr w:type="spellStart"/>
      <w:r w:rsidRPr="00D05B91">
        <w:rPr>
          <w:rFonts w:cs="Arial"/>
        </w:rPr>
        <w:t>ungrazed</w:t>
      </w:r>
      <w:proofErr w:type="spellEnd"/>
      <w:r w:rsidRPr="00D05B91">
        <w:rPr>
          <w:rFonts w:cs="Arial"/>
        </w:rPr>
        <w:t xml:space="preserve"> strip on </w:t>
      </w:r>
      <w:proofErr w:type="spellStart"/>
      <w:r w:rsidRPr="00D05B91">
        <w:rPr>
          <w:rFonts w:cs="Arial"/>
        </w:rPr>
        <w:t>Hackpen</w:t>
      </w:r>
      <w:proofErr w:type="spellEnd"/>
      <w:r w:rsidRPr="00D05B91">
        <w:rPr>
          <w:rFonts w:cs="Arial"/>
        </w:rPr>
        <w:t xml:space="preserve"> Down contains hawthorns and elder scrub, interspersed with upright brome grassland and herbs including sainfoin </w:t>
      </w:r>
      <w:proofErr w:type="spellStart"/>
      <w:r w:rsidRPr="00D05B91">
        <w:rPr>
          <w:rFonts w:cs="Arial"/>
        </w:rPr>
        <w:t>Onobrychis</w:t>
      </w:r>
      <w:proofErr w:type="spellEnd"/>
      <w:r w:rsidRPr="00D05B91">
        <w:rPr>
          <w:rFonts w:cs="Arial"/>
        </w:rPr>
        <w:t xml:space="preserve"> </w:t>
      </w:r>
      <w:proofErr w:type="spellStart"/>
      <w:r w:rsidRPr="00D05B91">
        <w:rPr>
          <w:rFonts w:cs="Arial"/>
        </w:rPr>
        <w:t>viciifolia</w:t>
      </w:r>
      <w:proofErr w:type="spellEnd"/>
      <w:r w:rsidRPr="00D05B91">
        <w:rPr>
          <w:rFonts w:cs="Arial"/>
        </w:rPr>
        <w:t xml:space="preserve"> and basil thyme </w:t>
      </w:r>
      <w:proofErr w:type="spellStart"/>
      <w:r w:rsidRPr="00D05B91">
        <w:rPr>
          <w:rFonts w:cs="Arial"/>
        </w:rPr>
        <w:t>Acinos</w:t>
      </w:r>
      <w:proofErr w:type="spellEnd"/>
      <w:r w:rsidRPr="00D05B91">
        <w:rPr>
          <w:rFonts w:cs="Arial"/>
        </w:rPr>
        <w:t xml:space="preserve"> arvensis.</w:t>
      </w:r>
    </w:p>
    <w:p w14:paraId="704C385B" w14:textId="77777777" w:rsidR="00966C1E" w:rsidRPr="00D05B91" w:rsidRDefault="00966C1E" w:rsidP="00966C1E">
      <w:pPr>
        <w:pStyle w:val="ListParagraph"/>
        <w:numPr>
          <w:ilvl w:val="0"/>
          <w:numId w:val="2"/>
        </w:numPr>
        <w:autoSpaceDE w:val="0"/>
        <w:autoSpaceDN w:val="0"/>
        <w:adjustRightInd w:val="0"/>
        <w:rPr>
          <w:rFonts w:cs="Arial"/>
        </w:rPr>
      </w:pPr>
      <w:r w:rsidRPr="00D05B91">
        <w:rPr>
          <w:rFonts w:cs="Arial"/>
        </w:rPr>
        <w:t>The key environmental conditions that support the features of European interest are appropriate management, minimal air pollution, and absence of direct fertilisation.</w:t>
      </w:r>
    </w:p>
    <w:p w14:paraId="371AEC47" w14:textId="77777777" w:rsidR="00966C1E" w:rsidRPr="00D05B91" w:rsidRDefault="00966C1E" w:rsidP="00966C1E">
      <w:pPr>
        <w:autoSpaceDE w:val="0"/>
        <w:autoSpaceDN w:val="0"/>
        <w:adjustRightInd w:val="0"/>
        <w:rPr>
          <w:rFonts w:cs="Arial"/>
        </w:rPr>
      </w:pPr>
    </w:p>
    <w:p w14:paraId="1EE724F4" w14:textId="77777777" w:rsidR="00966C1E" w:rsidRPr="004E6304" w:rsidRDefault="00966C1E" w:rsidP="00966C1E">
      <w:pPr>
        <w:autoSpaceDE w:val="0"/>
        <w:autoSpaceDN w:val="0"/>
        <w:adjustRightInd w:val="0"/>
        <w:rPr>
          <w:rFonts w:cs="Arial"/>
          <w:u w:val="single"/>
        </w:rPr>
      </w:pPr>
      <w:r w:rsidRPr="004E6304">
        <w:rPr>
          <w:rFonts w:cs="Arial"/>
          <w:u w:val="single"/>
        </w:rPr>
        <w:t xml:space="preserve">Oxford Meadow SAC (Approx. </w:t>
      </w:r>
      <w:r>
        <w:rPr>
          <w:rFonts w:cs="Arial"/>
          <w:u w:val="single"/>
        </w:rPr>
        <w:t>22</w:t>
      </w:r>
      <w:r w:rsidRPr="004E6304">
        <w:rPr>
          <w:rFonts w:cs="Arial"/>
          <w:u w:val="single"/>
        </w:rPr>
        <w:t>km)</w:t>
      </w:r>
    </w:p>
    <w:p w14:paraId="24817138" w14:textId="77777777" w:rsidR="00966C1E" w:rsidRPr="00D05B91" w:rsidRDefault="00966C1E" w:rsidP="00966C1E">
      <w:pPr>
        <w:autoSpaceDE w:val="0"/>
        <w:autoSpaceDN w:val="0"/>
        <w:adjustRightInd w:val="0"/>
        <w:rPr>
          <w:rFonts w:cs="Arial"/>
        </w:rPr>
      </w:pPr>
    </w:p>
    <w:p w14:paraId="14E13D40" w14:textId="77777777" w:rsidR="00966C1E" w:rsidRDefault="00966C1E" w:rsidP="00966C1E">
      <w:pPr>
        <w:pStyle w:val="ListParagraph"/>
        <w:numPr>
          <w:ilvl w:val="0"/>
          <w:numId w:val="2"/>
        </w:numPr>
        <w:autoSpaceDE w:val="0"/>
        <w:autoSpaceDN w:val="0"/>
        <w:adjustRightInd w:val="0"/>
        <w:rPr>
          <w:rFonts w:cs="Arial"/>
        </w:rPr>
      </w:pPr>
      <w:r w:rsidRPr="004E6304">
        <w:rPr>
          <w:rFonts w:cs="Arial"/>
        </w:rPr>
        <w:t>Oxford Meadow is designated as a SAC for its lowland hay meadows and creeping marshworts.</w:t>
      </w:r>
    </w:p>
    <w:p w14:paraId="1FF773CE" w14:textId="57AA91E1" w:rsidR="00966C1E" w:rsidRDefault="00966C1E" w:rsidP="00966C1E">
      <w:pPr>
        <w:pStyle w:val="ListParagraph"/>
        <w:numPr>
          <w:ilvl w:val="0"/>
          <w:numId w:val="2"/>
        </w:numPr>
        <w:autoSpaceDE w:val="0"/>
        <w:autoSpaceDN w:val="0"/>
        <w:adjustRightInd w:val="0"/>
        <w:rPr>
          <w:rFonts w:cs="Arial"/>
        </w:rPr>
      </w:pPr>
      <w:r w:rsidRPr="004E6304">
        <w:rPr>
          <w:rFonts w:cs="Arial"/>
        </w:rPr>
        <w:t>The main pressures and threats to this site include the impacts of hydrological changes and the invasive species of Crassula upon creeping marshworts.</w:t>
      </w:r>
    </w:p>
    <w:p w14:paraId="1D10B586" w14:textId="77777777" w:rsidR="006369EB" w:rsidRDefault="006369EB" w:rsidP="006369EB">
      <w:pPr>
        <w:autoSpaceDE w:val="0"/>
        <w:autoSpaceDN w:val="0"/>
        <w:adjustRightInd w:val="0"/>
        <w:rPr>
          <w:rFonts w:cs="Arial"/>
          <w:u w:val="single"/>
        </w:rPr>
      </w:pPr>
    </w:p>
    <w:p w14:paraId="19A87879" w14:textId="2510A15C" w:rsidR="006369EB" w:rsidRPr="002C1D6F" w:rsidRDefault="006369EB" w:rsidP="006369EB">
      <w:pPr>
        <w:autoSpaceDE w:val="0"/>
        <w:autoSpaceDN w:val="0"/>
        <w:adjustRightInd w:val="0"/>
        <w:rPr>
          <w:rFonts w:cs="Arial"/>
          <w:u w:val="single"/>
        </w:rPr>
      </w:pPr>
      <w:r w:rsidRPr="002C1D6F">
        <w:rPr>
          <w:rFonts w:cs="Arial"/>
          <w:u w:val="single"/>
        </w:rPr>
        <w:t>River Lambourne (Approx. 7km)</w:t>
      </w:r>
    </w:p>
    <w:p w14:paraId="0A0B0B6F" w14:textId="64C25FF6" w:rsidR="006369EB" w:rsidRPr="002C1D6F" w:rsidRDefault="006369EB" w:rsidP="006369EB">
      <w:pPr>
        <w:autoSpaceDE w:val="0"/>
        <w:autoSpaceDN w:val="0"/>
        <w:adjustRightInd w:val="0"/>
        <w:rPr>
          <w:rFonts w:cs="Arial"/>
          <w:u w:val="single"/>
        </w:rPr>
      </w:pPr>
    </w:p>
    <w:p w14:paraId="0FE85AE1" w14:textId="4D625A66" w:rsidR="006369EB" w:rsidRPr="002C1D6F" w:rsidRDefault="006369EB" w:rsidP="006369EB">
      <w:pPr>
        <w:pStyle w:val="ListParagraph"/>
        <w:numPr>
          <w:ilvl w:val="0"/>
          <w:numId w:val="2"/>
        </w:numPr>
        <w:autoSpaceDE w:val="0"/>
        <w:autoSpaceDN w:val="0"/>
        <w:adjustRightInd w:val="0"/>
        <w:rPr>
          <w:rFonts w:cs="Arial"/>
        </w:rPr>
      </w:pPr>
      <w:r w:rsidRPr="002C1D6F">
        <w:rPr>
          <w:rFonts w:cs="Arial"/>
        </w:rPr>
        <w:t xml:space="preserve">The </w:t>
      </w:r>
      <w:proofErr w:type="gramStart"/>
      <w:r w:rsidRPr="002C1D6F">
        <w:rPr>
          <w:rFonts w:cs="Arial"/>
        </w:rPr>
        <w:t>River</w:t>
      </w:r>
      <w:proofErr w:type="gramEnd"/>
      <w:r w:rsidRPr="002C1D6F">
        <w:rPr>
          <w:rFonts w:cs="Arial"/>
        </w:rPr>
        <w:t xml:space="preserve"> Lambourne is a classic example</w:t>
      </w:r>
      <w:r w:rsidR="005B2433" w:rsidRPr="002C1D6F">
        <w:rPr>
          <w:rFonts w:cs="Arial"/>
        </w:rPr>
        <w:t xml:space="preserve"> of a lowland chalk river. The river is fed by the Chalk aquifer of the north Wessex Downs, which gives rise to highly calcareous water. The </w:t>
      </w:r>
      <w:proofErr w:type="gramStart"/>
      <w:r w:rsidR="005B2433" w:rsidRPr="002C1D6F">
        <w:rPr>
          <w:rFonts w:cs="Arial"/>
        </w:rPr>
        <w:t>River</w:t>
      </w:r>
      <w:proofErr w:type="gramEnd"/>
      <w:r w:rsidR="005B2433" w:rsidRPr="002C1D6F">
        <w:rPr>
          <w:rFonts w:cs="Arial"/>
        </w:rPr>
        <w:t xml:space="preserve"> Lambourne supports populations of the brook lamprey </w:t>
      </w:r>
      <w:r w:rsidR="00326E3D" w:rsidRPr="002C1D6F">
        <w:rPr>
          <w:rFonts w:cs="Arial"/>
        </w:rPr>
        <w:t>(</w:t>
      </w:r>
      <w:proofErr w:type="spellStart"/>
      <w:r w:rsidR="005B2433" w:rsidRPr="002C1D6F">
        <w:rPr>
          <w:rFonts w:cs="Arial"/>
        </w:rPr>
        <w:t>Lampetra</w:t>
      </w:r>
      <w:proofErr w:type="spellEnd"/>
      <w:r w:rsidR="005B2433" w:rsidRPr="002C1D6F">
        <w:rPr>
          <w:rFonts w:cs="Arial"/>
        </w:rPr>
        <w:t xml:space="preserve"> </w:t>
      </w:r>
      <w:proofErr w:type="spellStart"/>
      <w:r w:rsidR="005B2433" w:rsidRPr="002C1D6F">
        <w:rPr>
          <w:rFonts w:cs="Arial"/>
        </w:rPr>
        <w:t>planeri</w:t>
      </w:r>
      <w:proofErr w:type="spellEnd"/>
      <w:r w:rsidR="00326E3D" w:rsidRPr="002C1D6F">
        <w:rPr>
          <w:rFonts w:cs="Arial"/>
        </w:rPr>
        <w:t>) and of the bullhead (</w:t>
      </w:r>
      <w:proofErr w:type="spellStart"/>
      <w:r w:rsidR="00326E3D" w:rsidRPr="002C1D6F">
        <w:rPr>
          <w:rFonts w:cs="Arial"/>
        </w:rPr>
        <w:t>Cottus</w:t>
      </w:r>
      <w:proofErr w:type="spellEnd"/>
      <w:r w:rsidR="00326E3D" w:rsidRPr="002C1D6F">
        <w:rPr>
          <w:rFonts w:cs="Arial"/>
        </w:rPr>
        <w:t xml:space="preserve"> gobio).</w:t>
      </w:r>
    </w:p>
    <w:p w14:paraId="5132D246" w14:textId="7CEB23EE" w:rsidR="00D11FBD" w:rsidRPr="002C1D6F" w:rsidRDefault="00D11FBD" w:rsidP="006369EB">
      <w:pPr>
        <w:pStyle w:val="ListParagraph"/>
        <w:numPr>
          <w:ilvl w:val="0"/>
          <w:numId w:val="2"/>
        </w:numPr>
        <w:autoSpaceDE w:val="0"/>
        <w:autoSpaceDN w:val="0"/>
        <w:adjustRightInd w:val="0"/>
        <w:rPr>
          <w:rFonts w:cs="Arial"/>
        </w:rPr>
      </w:pPr>
      <w:r w:rsidRPr="002C1D6F">
        <w:rPr>
          <w:rFonts w:cs="Arial"/>
        </w:rPr>
        <w:lastRenderedPageBreak/>
        <w:t>On 16 March 2022 Natural England issued interim advice</w:t>
      </w:r>
      <w:r w:rsidRPr="002C1D6F">
        <w:rPr>
          <w:rStyle w:val="FootnoteReference"/>
          <w:rFonts w:cs="Arial"/>
        </w:rPr>
        <w:footnoteReference w:id="5"/>
      </w:r>
      <w:r w:rsidRPr="002C1D6F">
        <w:rPr>
          <w:rFonts w:cs="Arial"/>
        </w:rPr>
        <w:t xml:space="preserve"> that projects and plans affecting habitats sites in unfavourable condition due to nutrient pollution are required to provide mitigation. This means that new development must not add to the existing pollution load. This advice applies to the River Lambourn SAC. Part of the White Horse is within the River Lambourn SAC catchment.</w:t>
      </w:r>
    </w:p>
    <w:p w14:paraId="45AB482B" w14:textId="77777777" w:rsidR="006369EB" w:rsidRPr="006369EB" w:rsidRDefault="006369EB" w:rsidP="006369EB">
      <w:pPr>
        <w:autoSpaceDE w:val="0"/>
        <w:autoSpaceDN w:val="0"/>
        <w:adjustRightInd w:val="0"/>
        <w:rPr>
          <w:rFonts w:cs="Arial"/>
        </w:rPr>
      </w:pPr>
    </w:p>
    <w:p w14:paraId="7322581C" w14:textId="77777777" w:rsidR="00966C1E" w:rsidRPr="00DF39A0" w:rsidRDefault="00966C1E" w:rsidP="00DF39A0">
      <w:pPr>
        <w:autoSpaceDE w:val="0"/>
        <w:autoSpaceDN w:val="0"/>
        <w:adjustRightInd w:val="0"/>
        <w:ind w:left="426" w:hanging="360"/>
        <w:rPr>
          <w:rFonts w:cs="Arial"/>
        </w:rPr>
      </w:pPr>
    </w:p>
    <w:p w14:paraId="079B25CF" w14:textId="77777777" w:rsidR="00966C1E" w:rsidRPr="00E90C4E" w:rsidRDefault="00966C1E" w:rsidP="00966C1E">
      <w:pPr>
        <w:autoSpaceDE w:val="0"/>
        <w:autoSpaceDN w:val="0"/>
        <w:adjustRightInd w:val="0"/>
        <w:rPr>
          <w:rStyle w:val="Heading4"/>
        </w:rPr>
      </w:pPr>
      <w:r w:rsidRPr="00E90C4E">
        <w:rPr>
          <w:rStyle w:val="Heading4"/>
        </w:rPr>
        <w:t>Assessment</w:t>
      </w:r>
    </w:p>
    <w:p w14:paraId="66061E95" w14:textId="77777777" w:rsidR="00966C1E" w:rsidRDefault="00966C1E" w:rsidP="00966C1E">
      <w:pPr>
        <w:pStyle w:val="ListParagraph"/>
        <w:numPr>
          <w:ilvl w:val="0"/>
          <w:numId w:val="2"/>
        </w:numPr>
        <w:autoSpaceDE w:val="0"/>
        <w:autoSpaceDN w:val="0"/>
        <w:adjustRightInd w:val="0"/>
        <w:rPr>
          <w:rFonts w:cs="Arial"/>
        </w:rPr>
      </w:pPr>
      <w:r w:rsidRPr="004E6304">
        <w:rPr>
          <w:rFonts w:cs="Arial"/>
        </w:rPr>
        <w:t>As required under Regulation 106 of the Conservation of Habitats and Species Regulations 2017 (the ‘Habitats Regulations’), the qualifying body (</w:t>
      </w:r>
      <w:r>
        <w:rPr>
          <w:rFonts w:cs="Arial"/>
        </w:rPr>
        <w:t>Wantage</w:t>
      </w:r>
      <w:r w:rsidRPr="004E6304">
        <w:rPr>
          <w:rFonts w:cs="Arial"/>
        </w:rPr>
        <w:t xml:space="preserve"> </w:t>
      </w:r>
      <w:r>
        <w:rPr>
          <w:rFonts w:cs="Arial"/>
        </w:rPr>
        <w:t>Town</w:t>
      </w:r>
      <w:r w:rsidRPr="004E6304">
        <w:rPr>
          <w:rFonts w:cs="Arial"/>
        </w:rPr>
        <w:t xml:space="preserve"> Council) provided the required information to enable Vale of White Horse District Council to determine whether the assessment under Regulation 105 is required.  Consideration has been given to the potential for the development proposed by the neighbourhood plan to result in significant effects associated with:</w:t>
      </w:r>
    </w:p>
    <w:p w14:paraId="13D036AA" w14:textId="77777777" w:rsidR="00966C1E" w:rsidRDefault="00966C1E" w:rsidP="00966C1E">
      <w:pPr>
        <w:pStyle w:val="ListParagraph"/>
        <w:numPr>
          <w:ilvl w:val="2"/>
          <w:numId w:val="2"/>
        </w:numPr>
        <w:autoSpaceDE w:val="0"/>
        <w:autoSpaceDN w:val="0"/>
        <w:adjustRightInd w:val="0"/>
        <w:rPr>
          <w:rFonts w:cs="Arial"/>
        </w:rPr>
      </w:pPr>
      <w:r w:rsidRPr="004E6304">
        <w:rPr>
          <w:rFonts w:cs="Arial"/>
        </w:rPr>
        <w:t>Physical loss of/damage to habitat;</w:t>
      </w:r>
    </w:p>
    <w:p w14:paraId="35CDC6E3" w14:textId="77777777" w:rsidR="00966C1E" w:rsidRDefault="00966C1E" w:rsidP="00966C1E">
      <w:pPr>
        <w:pStyle w:val="ListParagraph"/>
        <w:numPr>
          <w:ilvl w:val="2"/>
          <w:numId w:val="2"/>
        </w:numPr>
        <w:autoSpaceDE w:val="0"/>
        <w:autoSpaceDN w:val="0"/>
        <w:adjustRightInd w:val="0"/>
        <w:rPr>
          <w:rFonts w:cs="Arial"/>
        </w:rPr>
      </w:pPr>
      <w:r w:rsidRPr="004E6304">
        <w:rPr>
          <w:rFonts w:cs="Arial"/>
        </w:rPr>
        <w:t xml:space="preserve">Non-physical disturbance </w:t>
      </w:r>
      <w:proofErr w:type="gramStart"/>
      <w:r w:rsidRPr="004E6304">
        <w:rPr>
          <w:rFonts w:cs="Arial"/>
        </w:rPr>
        <w:t>e.g.</w:t>
      </w:r>
      <w:proofErr w:type="gramEnd"/>
      <w:r w:rsidRPr="004E6304">
        <w:rPr>
          <w:rFonts w:cs="Arial"/>
        </w:rPr>
        <w:t xml:space="preserve"> noise/vibration or light pollution;</w:t>
      </w:r>
    </w:p>
    <w:p w14:paraId="3253D5F9" w14:textId="77777777" w:rsidR="00966C1E" w:rsidRDefault="00966C1E" w:rsidP="00966C1E">
      <w:pPr>
        <w:pStyle w:val="ListParagraph"/>
        <w:numPr>
          <w:ilvl w:val="2"/>
          <w:numId w:val="2"/>
        </w:numPr>
        <w:autoSpaceDE w:val="0"/>
        <w:autoSpaceDN w:val="0"/>
        <w:adjustRightInd w:val="0"/>
        <w:rPr>
          <w:rFonts w:cs="Arial"/>
        </w:rPr>
      </w:pPr>
      <w:r w:rsidRPr="004E6304">
        <w:rPr>
          <w:rFonts w:cs="Arial"/>
        </w:rPr>
        <w:t>Air pollution;</w:t>
      </w:r>
    </w:p>
    <w:p w14:paraId="55446D53" w14:textId="77777777" w:rsidR="00966C1E" w:rsidRDefault="00966C1E" w:rsidP="00966C1E">
      <w:pPr>
        <w:pStyle w:val="ListParagraph"/>
        <w:numPr>
          <w:ilvl w:val="2"/>
          <w:numId w:val="2"/>
        </w:numPr>
        <w:autoSpaceDE w:val="0"/>
        <w:autoSpaceDN w:val="0"/>
        <w:adjustRightInd w:val="0"/>
        <w:rPr>
          <w:rFonts w:cs="Arial"/>
        </w:rPr>
      </w:pPr>
      <w:r w:rsidRPr="004E6304">
        <w:rPr>
          <w:rFonts w:cs="Arial"/>
        </w:rPr>
        <w:t xml:space="preserve">Increased recreation pressure; and </w:t>
      </w:r>
    </w:p>
    <w:p w14:paraId="3D22E803" w14:textId="77777777" w:rsidR="00966C1E" w:rsidRPr="004E6304" w:rsidRDefault="00966C1E" w:rsidP="00966C1E">
      <w:pPr>
        <w:pStyle w:val="ListParagraph"/>
        <w:numPr>
          <w:ilvl w:val="2"/>
          <w:numId w:val="2"/>
        </w:numPr>
        <w:autoSpaceDE w:val="0"/>
        <w:autoSpaceDN w:val="0"/>
        <w:adjustRightInd w:val="0"/>
        <w:rPr>
          <w:rFonts w:cs="Arial"/>
        </w:rPr>
      </w:pPr>
      <w:r w:rsidRPr="004E6304">
        <w:rPr>
          <w:rFonts w:cs="Arial"/>
        </w:rPr>
        <w:t>Changes to hydrological regimes.</w:t>
      </w:r>
    </w:p>
    <w:p w14:paraId="7F2B9347" w14:textId="77777777" w:rsidR="00966C1E" w:rsidRPr="00D05B91" w:rsidRDefault="00966C1E" w:rsidP="00966C1E">
      <w:pPr>
        <w:autoSpaceDE w:val="0"/>
        <w:autoSpaceDN w:val="0"/>
        <w:adjustRightInd w:val="0"/>
        <w:rPr>
          <w:rFonts w:cs="Arial"/>
        </w:rPr>
      </w:pPr>
    </w:p>
    <w:p w14:paraId="45BE02FA" w14:textId="23A58D32" w:rsidR="00966C1E" w:rsidRDefault="00966C1E" w:rsidP="00966C1E">
      <w:pPr>
        <w:pStyle w:val="ListParagraph"/>
        <w:numPr>
          <w:ilvl w:val="0"/>
          <w:numId w:val="2"/>
        </w:numPr>
        <w:autoSpaceDE w:val="0"/>
        <w:autoSpaceDN w:val="0"/>
        <w:adjustRightInd w:val="0"/>
        <w:rPr>
          <w:rFonts w:cs="Arial"/>
        </w:rPr>
      </w:pPr>
      <w:r w:rsidRPr="004E6304">
        <w:rPr>
          <w:rFonts w:cs="Arial"/>
        </w:rPr>
        <w:t xml:space="preserve">The Plan does not allocate any sites for development or promote additional development beyond what is supported in the adopted Development Plan. None of the SACs are located within the </w:t>
      </w:r>
      <w:r>
        <w:rPr>
          <w:rFonts w:cs="Arial"/>
        </w:rPr>
        <w:t>Wantage</w:t>
      </w:r>
      <w:r w:rsidRPr="004E6304">
        <w:rPr>
          <w:rFonts w:cs="Arial"/>
        </w:rPr>
        <w:t xml:space="preserve"> NDP area and the closest is approximately </w:t>
      </w:r>
      <w:r>
        <w:rPr>
          <w:rFonts w:cs="Arial"/>
        </w:rPr>
        <w:t>3</w:t>
      </w:r>
      <w:r w:rsidRPr="004E6304">
        <w:rPr>
          <w:rFonts w:cs="Arial"/>
        </w:rPr>
        <w:t xml:space="preserve">km from the boundary of the NDP area. Therefore, the </w:t>
      </w:r>
      <w:r>
        <w:rPr>
          <w:rFonts w:cs="Arial"/>
        </w:rPr>
        <w:t>Wantage</w:t>
      </w:r>
      <w:r w:rsidRPr="004E6304">
        <w:rPr>
          <w:rFonts w:cs="Arial"/>
        </w:rPr>
        <w:t xml:space="preserve"> NDP is unlikely to have significant effects on Natura 200</w:t>
      </w:r>
      <w:r>
        <w:rPr>
          <w:rFonts w:cs="Arial"/>
        </w:rPr>
        <w:t>0</w:t>
      </w:r>
      <w:r w:rsidRPr="004E6304">
        <w:rPr>
          <w:rFonts w:cs="Arial"/>
        </w:rPr>
        <w:t>, either alone or in combination with other plans or projects, takin</w:t>
      </w:r>
      <w:r w:rsidR="00DF39A0">
        <w:rPr>
          <w:rFonts w:cs="Arial"/>
        </w:rPr>
        <w:t>g</w:t>
      </w:r>
      <w:r w:rsidRPr="004E6304">
        <w:rPr>
          <w:rFonts w:cs="Arial"/>
        </w:rPr>
        <w:t xml:space="preserve"> the above into account.</w:t>
      </w:r>
      <w:r w:rsidR="00DF39A0">
        <w:rPr>
          <w:rFonts w:cs="Arial"/>
        </w:rPr>
        <w:t xml:space="preserve"> </w:t>
      </w:r>
    </w:p>
    <w:p w14:paraId="163B7FA1" w14:textId="09321ED0" w:rsidR="00DF39A0" w:rsidRPr="002C1D6F" w:rsidRDefault="00DF39A0" w:rsidP="00966C1E">
      <w:pPr>
        <w:pStyle w:val="ListParagraph"/>
        <w:numPr>
          <w:ilvl w:val="0"/>
          <w:numId w:val="2"/>
        </w:numPr>
        <w:autoSpaceDE w:val="0"/>
        <w:autoSpaceDN w:val="0"/>
        <w:adjustRightInd w:val="0"/>
        <w:rPr>
          <w:rFonts w:cs="Arial"/>
        </w:rPr>
      </w:pPr>
      <w:r w:rsidRPr="002C1D6F">
        <w:rPr>
          <w:rFonts w:cs="Arial"/>
        </w:rPr>
        <w:t xml:space="preserve">With regards to the River Lambourn SAC specifically and </w:t>
      </w:r>
      <w:r w:rsidR="00EC2D7D" w:rsidRPr="002C1D6F">
        <w:rPr>
          <w:rFonts w:cs="Arial"/>
        </w:rPr>
        <w:t xml:space="preserve">the </w:t>
      </w:r>
      <w:r w:rsidRPr="002C1D6F">
        <w:rPr>
          <w:rFonts w:cs="Arial"/>
        </w:rPr>
        <w:t xml:space="preserve">recent advice published by Natural England, the Wantage NDP is not proposing any sites for development or </w:t>
      </w:r>
      <w:r w:rsidR="00EC2D7D" w:rsidRPr="002C1D6F">
        <w:rPr>
          <w:rFonts w:cs="Arial"/>
        </w:rPr>
        <w:t>supporting</w:t>
      </w:r>
      <w:r w:rsidRPr="002C1D6F">
        <w:rPr>
          <w:rFonts w:cs="Arial"/>
        </w:rPr>
        <w:t xml:space="preserve"> additional development </w:t>
      </w:r>
      <w:r w:rsidR="00A62DD0" w:rsidRPr="002C1D6F">
        <w:rPr>
          <w:rFonts w:cs="Arial"/>
        </w:rPr>
        <w:t>beyond what is supported in the adopted Development Plan.</w:t>
      </w:r>
      <w:r w:rsidR="00EC2D7D" w:rsidRPr="002C1D6F">
        <w:rPr>
          <w:rFonts w:cs="Arial"/>
        </w:rPr>
        <w:t xml:space="preserve"> It therefore will not add to the existing pollution load.</w:t>
      </w:r>
    </w:p>
    <w:p w14:paraId="25851826" w14:textId="77777777" w:rsidR="00966C1E" w:rsidRDefault="00966C1E" w:rsidP="00966C1E">
      <w:pPr>
        <w:pStyle w:val="ListParagraph"/>
        <w:numPr>
          <w:ilvl w:val="0"/>
          <w:numId w:val="2"/>
        </w:numPr>
        <w:autoSpaceDE w:val="0"/>
        <w:autoSpaceDN w:val="0"/>
        <w:adjustRightInd w:val="0"/>
        <w:rPr>
          <w:rFonts w:cs="Arial"/>
        </w:rPr>
      </w:pPr>
      <w:r w:rsidRPr="004E6304">
        <w:rPr>
          <w:rFonts w:cs="Arial"/>
        </w:rPr>
        <w:t xml:space="preserve">The Council has considered the HRA of the Vale of White Horse Local Plan 2031 Part 2 (October 2019) in respect of the potential in combination effects of the proposals in the </w:t>
      </w:r>
      <w:r>
        <w:rPr>
          <w:rFonts w:cs="Arial"/>
        </w:rPr>
        <w:t>Wantage</w:t>
      </w:r>
      <w:r w:rsidRPr="004E6304">
        <w:rPr>
          <w:rFonts w:cs="Arial"/>
        </w:rPr>
        <w:t xml:space="preserve"> Neighbourhood Plan. As the </w:t>
      </w:r>
      <w:r>
        <w:rPr>
          <w:rFonts w:cs="Arial"/>
        </w:rPr>
        <w:t>Wantage</w:t>
      </w:r>
      <w:r w:rsidRPr="004E6304">
        <w:rPr>
          <w:rFonts w:cs="Arial"/>
        </w:rPr>
        <w:t xml:space="preserve"> NDP is not proposing any additional </w:t>
      </w:r>
      <w:r w:rsidRPr="004E6304">
        <w:rPr>
          <w:rFonts w:cs="Arial"/>
        </w:rPr>
        <w:lastRenderedPageBreak/>
        <w:t xml:space="preserve">development beyond that already considered in Vale of White Horse Local Plan 2031 Part 1 or Vale of White Horse Local Plan 2031 Part 2, we consider that the </w:t>
      </w:r>
      <w:r>
        <w:rPr>
          <w:rFonts w:cs="Arial"/>
        </w:rPr>
        <w:t>Wantage</w:t>
      </w:r>
      <w:r w:rsidRPr="004E6304">
        <w:rPr>
          <w:rFonts w:cs="Arial"/>
        </w:rPr>
        <w:t xml:space="preserve"> NDP is not likely to give rise to significant in combination effects.</w:t>
      </w:r>
    </w:p>
    <w:p w14:paraId="7DFC2FC9" w14:textId="77777777" w:rsidR="00966C1E" w:rsidRPr="004E6304" w:rsidRDefault="00966C1E" w:rsidP="00966C1E">
      <w:pPr>
        <w:pStyle w:val="ListParagraph"/>
        <w:numPr>
          <w:ilvl w:val="0"/>
          <w:numId w:val="2"/>
        </w:numPr>
        <w:autoSpaceDE w:val="0"/>
        <w:autoSpaceDN w:val="0"/>
        <w:adjustRightInd w:val="0"/>
        <w:rPr>
          <w:rFonts w:cs="Arial"/>
        </w:rPr>
      </w:pPr>
      <w:r w:rsidRPr="004E6304">
        <w:rPr>
          <w:rFonts w:cs="Arial"/>
        </w:rPr>
        <w:t xml:space="preserve">Appendix 2 of this assessment has considered how the development proposed in the </w:t>
      </w:r>
      <w:r>
        <w:rPr>
          <w:rFonts w:cs="Arial"/>
        </w:rPr>
        <w:t>Wantage</w:t>
      </w:r>
      <w:r w:rsidRPr="004E6304">
        <w:rPr>
          <w:rFonts w:cs="Arial"/>
        </w:rPr>
        <w:t xml:space="preserve"> Neighbourhood Plan is unlikely to have significant effects on Natura 2000 sites. Given the plan does not propose any allocations and having regard to the conclusions of Appendix 2, it is considered that the development proposed in the </w:t>
      </w:r>
      <w:r>
        <w:rPr>
          <w:rFonts w:cs="Arial"/>
        </w:rPr>
        <w:t>Wantage</w:t>
      </w:r>
      <w:r w:rsidRPr="004E6304">
        <w:rPr>
          <w:rFonts w:cs="Arial"/>
        </w:rPr>
        <w:t xml:space="preserve"> Neighbourhood Plan is not likely to give rise to significant in combination effects.</w:t>
      </w:r>
    </w:p>
    <w:p w14:paraId="4EC224E2" w14:textId="77777777" w:rsidR="00966C1E" w:rsidRPr="006B1830" w:rsidRDefault="00966C1E" w:rsidP="00966C1E">
      <w:pPr>
        <w:autoSpaceDE w:val="0"/>
        <w:autoSpaceDN w:val="0"/>
        <w:adjustRightInd w:val="0"/>
        <w:rPr>
          <w:rFonts w:cs="Arial"/>
        </w:rPr>
      </w:pPr>
    </w:p>
    <w:p w14:paraId="090DDD7A" w14:textId="77777777" w:rsidR="00966C1E" w:rsidRPr="006B1830" w:rsidRDefault="00966C1E" w:rsidP="00966C1E">
      <w:pPr>
        <w:autoSpaceDE w:val="0"/>
        <w:autoSpaceDN w:val="0"/>
        <w:adjustRightInd w:val="0"/>
        <w:rPr>
          <w:rFonts w:cs="Arial"/>
        </w:rPr>
      </w:pPr>
    </w:p>
    <w:p w14:paraId="73F64FF5" w14:textId="77777777" w:rsidR="00966C1E" w:rsidRPr="006B1830" w:rsidRDefault="00966C1E" w:rsidP="00966C1E">
      <w:pPr>
        <w:autoSpaceDE w:val="0"/>
        <w:autoSpaceDN w:val="0"/>
        <w:adjustRightInd w:val="0"/>
        <w:rPr>
          <w:rStyle w:val="Heading4"/>
        </w:rPr>
      </w:pPr>
      <w:r w:rsidRPr="006B1830">
        <w:rPr>
          <w:rStyle w:val="Heading4"/>
        </w:rPr>
        <w:t>Conclusion</w:t>
      </w:r>
    </w:p>
    <w:p w14:paraId="4B666483" w14:textId="77777777" w:rsidR="00966C1E" w:rsidRPr="00F0785A" w:rsidRDefault="00966C1E" w:rsidP="00966C1E">
      <w:pPr>
        <w:pStyle w:val="ListParagraph"/>
        <w:numPr>
          <w:ilvl w:val="0"/>
          <w:numId w:val="2"/>
        </w:numPr>
        <w:autoSpaceDE w:val="0"/>
        <w:autoSpaceDN w:val="0"/>
        <w:adjustRightInd w:val="0"/>
        <w:rPr>
          <w:rFonts w:cs="Arial"/>
        </w:rPr>
      </w:pPr>
      <w:r>
        <w:rPr>
          <w:rFonts w:cs="Arial"/>
        </w:rPr>
        <w:t>The Wantage</w:t>
      </w:r>
      <w:r w:rsidRPr="00240319">
        <w:t xml:space="preserve"> NDP </w:t>
      </w:r>
      <w:r w:rsidRPr="00240319">
        <w:rPr>
          <w:rFonts w:cs="Arial"/>
        </w:rPr>
        <w:t>is unlikely to</w:t>
      </w:r>
      <w:r w:rsidRPr="006B1830">
        <w:rPr>
          <w:rFonts w:cs="Arial"/>
        </w:rPr>
        <w:t xml:space="preserve"> have significant effects on Natura 2000 sites, either alone or in combination with other plans or projects, therefore, an Appropriate Assessment for the </w:t>
      </w:r>
      <w:r>
        <w:t>Wantage</w:t>
      </w:r>
      <w:r w:rsidRPr="006B1830">
        <w:t xml:space="preserve"> NDP </w:t>
      </w:r>
      <w:r w:rsidRPr="006B1830">
        <w:rPr>
          <w:rFonts w:cs="Arial"/>
        </w:rPr>
        <w:t>is not required</w:t>
      </w:r>
    </w:p>
    <w:p w14:paraId="322ACED5" w14:textId="77777777" w:rsidR="00966C1E" w:rsidRDefault="00966C1E" w:rsidP="00966C1E">
      <w:pPr>
        <w:autoSpaceDE w:val="0"/>
        <w:autoSpaceDN w:val="0"/>
        <w:adjustRightInd w:val="0"/>
        <w:rPr>
          <w:rFonts w:cs="Arial"/>
          <w:b/>
          <w:bCs/>
          <w:sz w:val="32"/>
          <w:szCs w:val="32"/>
        </w:rPr>
      </w:pPr>
    </w:p>
    <w:p w14:paraId="2F4D81AB" w14:textId="753773C9" w:rsidR="00966C1E" w:rsidRDefault="00966C1E" w:rsidP="00966C1E">
      <w:pPr>
        <w:autoSpaceDE w:val="0"/>
        <w:autoSpaceDN w:val="0"/>
        <w:adjustRightInd w:val="0"/>
        <w:rPr>
          <w:rFonts w:cs="Arial"/>
          <w:b/>
          <w:bCs/>
          <w:sz w:val="32"/>
          <w:szCs w:val="32"/>
        </w:rPr>
      </w:pPr>
    </w:p>
    <w:p w14:paraId="6D0A87FD" w14:textId="77777777" w:rsidR="00CC4283" w:rsidRPr="008A6469" w:rsidRDefault="00CC4283" w:rsidP="00CC4283">
      <w:pPr>
        <w:adjustRightInd w:val="0"/>
        <w:rPr>
          <w:b/>
          <w:bCs/>
        </w:rPr>
      </w:pPr>
      <w:r w:rsidRPr="008A6469">
        <w:rPr>
          <w:b/>
          <w:bCs/>
        </w:rPr>
        <w:t>Authorised by:</w:t>
      </w:r>
      <w:r>
        <w:rPr>
          <w:b/>
          <w:bCs/>
        </w:rPr>
        <w:t xml:space="preserve"> Tim Oruye</w:t>
      </w:r>
    </w:p>
    <w:p w14:paraId="480FE9B9" w14:textId="77777777" w:rsidR="00CC4283" w:rsidRPr="008A6469" w:rsidRDefault="00CC4283" w:rsidP="00CC4283">
      <w:pPr>
        <w:adjustRightInd w:val="0"/>
        <w:rPr>
          <w:b/>
          <w:bCs/>
        </w:rPr>
      </w:pPr>
    </w:p>
    <w:p w14:paraId="25863EF1" w14:textId="77777777" w:rsidR="00CC4283" w:rsidRPr="008A6469" w:rsidRDefault="00CC4283" w:rsidP="00CC4283">
      <w:pPr>
        <w:adjustRightInd w:val="0"/>
        <w:rPr>
          <w:b/>
          <w:bCs/>
        </w:rPr>
      </w:pPr>
      <w:r w:rsidRPr="008A6469">
        <w:rPr>
          <w:b/>
          <w:bCs/>
        </w:rPr>
        <w:t>Signed:</w:t>
      </w:r>
      <w:r>
        <w:rPr>
          <w:b/>
          <w:bCs/>
        </w:rPr>
        <w:t xml:space="preserve">  </w:t>
      </w:r>
      <w:r>
        <w:rPr>
          <w:noProof/>
        </w:rPr>
        <w:drawing>
          <wp:inline distT="0" distB="0" distL="0" distR="0" wp14:anchorId="5EE6867D" wp14:editId="4CC24A71">
            <wp:extent cx="702459" cy="378247"/>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02459" cy="378247"/>
                    </a:xfrm>
                    <a:prstGeom prst="rect">
                      <a:avLst/>
                    </a:prstGeom>
                  </pic:spPr>
                </pic:pic>
              </a:graphicData>
            </a:graphic>
          </wp:inline>
        </w:drawing>
      </w:r>
    </w:p>
    <w:p w14:paraId="2A296A23" w14:textId="77777777" w:rsidR="00CC4283" w:rsidRPr="008A6469" w:rsidRDefault="00CC4283" w:rsidP="00CC4283">
      <w:pPr>
        <w:adjustRightInd w:val="0"/>
        <w:rPr>
          <w:b/>
          <w:bCs/>
        </w:rPr>
      </w:pPr>
    </w:p>
    <w:p w14:paraId="11D9783D" w14:textId="77777777" w:rsidR="00CC4283" w:rsidRPr="008A6469" w:rsidRDefault="00CC4283" w:rsidP="00CC4283">
      <w:pPr>
        <w:adjustRightInd w:val="0"/>
        <w:rPr>
          <w:b/>
          <w:bCs/>
        </w:rPr>
      </w:pPr>
      <w:r w:rsidRPr="008A6469">
        <w:rPr>
          <w:b/>
          <w:bCs/>
        </w:rPr>
        <w:t>Date:</w:t>
      </w:r>
      <w:r>
        <w:rPr>
          <w:b/>
          <w:bCs/>
        </w:rPr>
        <w:t xml:space="preserve"> 11/05/2023</w:t>
      </w:r>
    </w:p>
    <w:p w14:paraId="6E0AA8C0" w14:textId="77777777" w:rsidR="00966C1E" w:rsidRPr="006B1830" w:rsidRDefault="00966C1E" w:rsidP="00966C1E">
      <w:pPr>
        <w:autoSpaceDE w:val="0"/>
        <w:autoSpaceDN w:val="0"/>
        <w:adjustRightInd w:val="0"/>
        <w:rPr>
          <w:rFonts w:cs="Arial"/>
          <w:b/>
          <w:bCs/>
          <w:sz w:val="32"/>
          <w:szCs w:val="32"/>
        </w:rPr>
      </w:pPr>
    </w:p>
    <w:p w14:paraId="5C6A2C05" w14:textId="77777777" w:rsidR="00966C1E" w:rsidRDefault="00966C1E" w:rsidP="00966C1E">
      <w:pPr>
        <w:rPr>
          <w:rStyle w:val="Heading4"/>
        </w:rPr>
      </w:pPr>
    </w:p>
    <w:p w14:paraId="2E284AC0" w14:textId="5D7A7031" w:rsidR="00DC2EA8" w:rsidRPr="00D63514" w:rsidRDefault="00DC2EA8" w:rsidP="00CE7EEC">
      <w:pPr>
        <w:rPr>
          <w:rStyle w:val="Heading4"/>
        </w:rPr>
      </w:pPr>
    </w:p>
    <w:sectPr w:rsidR="00DC2EA8" w:rsidRPr="00D63514" w:rsidSect="006B777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A244" w14:textId="77777777" w:rsidR="00FA6316" w:rsidRDefault="00FA6316">
      <w:r>
        <w:separator/>
      </w:r>
    </w:p>
  </w:endnote>
  <w:endnote w:type="continuationSeparator" w:id="0">
    <w:p w14:paraId="1280CD2D" w14:textId="77777777" w:rsidR="00FA6316" w:rsidRDefault="00FA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Italic">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8F30" w14:textId="77777777" w:rsidR="00FA6316" w:rsidRDefault="00FA6316">
      <w:r>
        <w:separator/>
      </w:r>
    </w:p>
  </w:footnote>
  <w:footnote w:type="continuationSeparator" w:id="0">
    <w:p w14:paraId="29AA89C0" w14:textId="77777777" w:rsidR="00FA6316" w:rsidRDefault="00FA6316">
      <w:r>
        <w:continuationSeparator/>
      </w:r>
    </w:p>
  </w:footnote>
  <w:footnote w:id="1">
    <w:p w14:paraId="35CCA428" w14:textId="77777777" w:rsidR="00966C1E" w:rsidRDefault="00966C1E" w:rsidP="00966C1E">
      <w:pPr>
        <w:pStyle w:val="FootnoteText"/>
      </w:pPr>
      <w:r>
        <w:rPr>
          <w:rStyle w:val="FootnoteReference"/>
        </w:rPr>
        <w:footnoteRef/>
      </w:r>
      <w:r>
        <w:t xml:space="preserve"> Special Protection Areas (SPAs) for birds and Special Areas of Conservation (SACs) for other species, and for habitats.</w:t>
      </w:r>
    </w:p>
  </w:footnote>
  <w:footnote w:id="2">
    <w:p w14:paraId="06C2724B" w14:textId="77777777" w:rsidR="00966C1E" w:rsidRDefault="00966C1E" w:rsidP="00966C1E">
      <w:pPr>
        <w:pStyle w:val="FootnoteText"/>
      </w:pPr>
      <w:r w:rsidRPr="00240319">
        <w:rPr>
          <w:rStyle w:val="FootnoteReference"/>
        </w:rPr>
        <w:footnoteRef/>
      </w:r>
      <w:r w:rsidRPr="00240319">
        <w:t xml:space="preserve"> The </w:t>
      </w:r>
      <w:r>
        <w:t>Vale of White Horse Local Plan 2031</w:t>
      </w:r>
    </w:p>
  </w:footnote>
  <w:footnote w:id="3">
    <w:p w14:paraId="6CA75FF7" w14:textId="77777777" w:rsidR="00966C1E" w:rsidRDefault="00966C1E" w:rsidP="00966C1E">
      <w:pPr>
        <w:pStyle w:val="FootnoteText"/>
      </w:pPr>
      <w:r>
        <w:rPr>
          <w:rStyle w:val="FootnoteReference"/>
        </w:rPr>
        <w:footnoteRef/>
      </w:r>
      <w:r>
        <w:t xml:space="preserve"> Vale of White Horse Local Plan Part 1 Habitat Regulations Assessment February 2015</w:t>
      </w:r>
    </w:p>
  </w:footnote>
  <w:footnote w:id="4">
    <w:p w14:paraId="6C1973D3" w14:textId="77777777" w:rsidR="00966C1E" w:rsidRDefault="00966C1E" w:rsidP="00966C1E">
      <w:pPr>
        <w:pStyle w:val="FootnoteText"/>
      </w:pPr>
      <w:r>
        <w:rPr>
          <w:rStyle w:val="FootnoteReference"/>
        </w:rPr>
        <w:footnoteRef/>
      </w:r>
      <w:r>
        <w:t xml:space="preserve"> Vale of White Horse Local Plan Part 1 Habitat Regulations Assessment February 2018</w:t>
      </w:r>
    </w:p>
  </w:footnote>
  <w:footnote w:id="5">
    <w:p w14:paraId="63CE5227" w14:textId="46D7C657" w:rsidR="00D11FBD" w:rsidRDefault="00D11FBD">
      <w:pPr>
        <w:pStyle w:val="FootnoteText"/>
      </w:pPr>
      <w:r>
        <w:rPr>
          <w:rStyle w:val="FootnoteReference"/>
        </w:rPr>
        <w:footnoteRef/>
      </w:r>
      <w:r>
        <w:t xml:space="preserve"> Defra (16 March 2022) </w:t>
      </w:r>
      <w:hyperlink r:id="rId1" w:history="1">
        <w:r w:rsidRPr="00D11FBD">
          <w:rPr>
            <w:rStyle w:val="Hyperlink"/>
          </w:rPr>
          <w:t>Nutrient pollution: reducing the impact on protected sites</w:t>
        </w:r>
      </w:hyperlink>
      <w:r>
        <w:t xml:space="preserve"> (Policy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F86"/>
    <w:multiLevelType w:val="hybridMultilevel"/>
    <w:tmpl w:val="1DCC7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B40F1"/>
    <w:multiLevelType w:val="hybridMultilevel"/>
    <w:tmpl w:val="37424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C610A"/>
    <w:multiLevelType w:val="hybridMultilevel"/>
    <w:tmpl w:val="F4864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445ACD"/>
    <w:multiLevelType w:val="hybridMultilevel"/>
    <w:tmpl w:val="D5DCF6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82A291B"/>
    <w:multiLevelType w:val="hybridMultilevel"/>
    <w:tmpl w:val="3DE6FB5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664249"/>
    <w:multiLevelType w:val="hybridMultilevel"/>
    <w:tmpl w:val="755818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B04FB0"/>
    <w:multiLevelType w:val="hybridMultilevel"/>
    <w:tmpl w:val="954C1530"/>
    <w:lvl w:ilvl="0" w:tplc="4914D9C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0D065D"/>
    <w:multiLevelType w:val="hybridMultilevel"/>
    <w:tmpl w:val="7558189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193075"/>
    <w:multiLevelType w:val="hybridMultilevel"/>
    <w:tmpl w:val="5E509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22FE5"/>
    <w:multiLevelType w:val="hybridMultilevel"/>
    <w:tmpl w:val="7558189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E77850"/>
    <w:multiLevelType w:val="hybridMultilevel"/>
    <w:tmpl w:val="A1E0A328"/>
    <w:lvl w:ilvl="0" w:tplc="8A64B7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6615B73"/>
    <w:multiLevelType w:val="hybridMultilevel"/>
    <w:tmpl w:val="2C145C2A"/>
    <w:lvl w:ilvl="0" w:tplc="0809000F">
      <w:start w:val="1"/>
      <w:numFmt w:val="decimal"/>
      <w:lvlText w:val="%1."/>
      <w:lvlJc w:val="left"/>
      <w:pPr>
        <w:tabs>
          <w:tab w:val="num" w:pos="720"/>
        </w:tabs>
        <w:ind w:left="720" w:hanging="360"/>
      </w:pPr>
      <w:rPr>
        <w:rFonts w:hint="default"/>
      </w:rPr>
    </w:lvl>
    <w:lvl w:ilvl="1" w:tplc="19FE70E4">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E644A4B"/>
    <w:multiLevelType w:val="hybridMultilevel"/>
    <w:tmpl w:val="E6DE4F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711C78"/>
    <w:multiLevelType w:val="hybridMultilevel"/>
    <w:tmpl w:val="1402D6E2"/>
    <w:lvl w:ilvl="0" w:tplc="CDA0EAB0">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64B5D"/>
    <w:multiLevelType w:val="hybridMultilevel"/>
    <w:tmpl w:val="9BFA6B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7F2F99"/>
    <w:multiLevelType w:val="hybridMultilevel"/>
    <w:tmpl w:val="FD5C5FD6"/>
    <w:lvl w:ilvl="0" w:tplc="A80660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844357"/>
    <w:multiLevelType w:val="hybridMultilevel"/>
    <w:tmpl w:val="551EC4B0"/>
    <w:lvl w:ilvl="0" w:tplc="45483E4E">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0668D"/>
    <w:multiLevelType w:val="hybridMultilevel"/>
    <w:tmpl w:val="E70AEF9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DF61C41"/>
    <w:multiLevelType w:val="hybridMultilevel"/>
    <w:tmpl w:val="6C96369A"/>
    <w:lvl w:ilvl="0" w:tplc="19D8C768">
      <w:start w:val="1"/>
      <w:numFmt w:val="decimal"/>
      <w:pStyle w:val="ListParagraph"/>
      <w:lvlText w:val="%1."/>
      <w:lvlJc w:val="left"/>
      <w:pPr>
        <w:tabs>
          <w:tab w:val="num" w:pos="720"/>
        </w:tabs>
        <w:ind w:left="720" w:hanging="360"/>
      </w:pPr>
      <w:rPr>
        <w:rFonts w:hint="default"/>
        <w:b w:val="0"/>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5A97811"/>
    <w:multiLevelType w:val="hybridMultilevel"/>
    <w:tmpl w:val="D6726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02A9F"/>
    <w:multiLevelType w:val="hybridMultilevel"/>
    <w:tmpl w:val="8592CE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C2A7326"/>
    <w:multiLevelType w:val="hybridMultilevel"/>
    <w:tmpl w:val="7EEA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63789"/>
    <w:multiLevelType w:val="hybridMultilevel"/>
    <w:tmpl w:val="82A2E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AB030B"/>
    <w:multiLevelType w:val="hybridMultilevel"/>
    <w:tmpl w:val="78283C9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E63913"/>
    <w:multiLevelType w:val="hybridMultilevel"/>
    <w:tmpl w:val="9B0ED0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920D9C"/>
    <w:multiLevelType w:val="hybridMultilevel"/>
    <w:tmpl w:val="7558189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7FE55D0"/>
    <w:multiLevelType w:val="hybridMultilevel"/>
    <w:tmpl w:val="9D765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9405B"/>
    <w:multiLevelType w:val="hybridMultilevel"/>
    <w:tmpl w:val="5B962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E53EA"/>
    <w:multiLevelType w:val="hybridMultilevel"/>
    <w:tmpl w:val="07E8C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039D5"/>
    <w:multiLevelType w:val="hybridMultilevel"/>
    <w:tmpl w:val="A1D4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B113F"/>
    <w:multiLevelType w:val="hybridMultilevel"/>
    <w:tmpl w:val="88F45888"/>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125670"/>
    <w:multiLevelType w:val="hybridMultilevel"/>
    <w:tmpl w:val="E11201E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021786">
    <w:abstractNumId w:val="18"/>
  </w:num>
  <w:num w:numId="2" w16cid:durableId="1254626014">
    <w:abstractNumId w:val="23"/>
  </w:num>
  <w:num w:numId="3" w16cid:durableId="1367288341">
    <w:abstractNumId w:val="14"/>
  </w:num>
  <w:num w:numId="4" w16cid:durableId="53354401">
    <w:abstractNumId w:val="20"/>
  </w:num>
  <w:num w:numId="5" w16cid:durableId="1633637468">
    <w:abstractNumId w:val="19"/>
  </w:num>
  <w:num w:numId="6" w16cid:durableId="983662362">
    <w:abstractNumId w:val="21"/>
  </w:num>
  <w:num w:numId="7" w16cid:durableId="1787653751">
    <w:abstractNumId w:val="12"/>
  </w:num>
  <w:num w:numId="8" w16cid:durableId="518079414">
    <w:abstractNumId w:val="24"/>
  </w:num>
  <w:num w:numId="9" w16cid:durableId="1449276415">
    <w:abstractNumId w:val="25"/>
  </w:num>
  <w:num w:numId="10" w16cid:durableId="1457600877">
    <w:abstractNumId w:val="7"/>
  </w:num>
  <w:num w:numId="11" w16cid:durableId="1746487994">
    <w:abstractNumId w:val="4"/>
  </w:num>
  <w:num w:numId="12" w16cid:durableId="386689709">
    <w:abstractNumId w:val="11"/>
  </w:num>
  <w:num w:numId="13" w16cid:durableId="290985518">
    <w:abstractNumId w:val="9"/>
  </w:num>
  <w:num w:numId="14" w16cid:durableId="1737195344">
    <w:abstractNumId w:val="27"/>
  </w:num>
  <w:num w:numId="15" w16cid:durableId="1971856791">
    <w:abstractNumId w:val="5"/>
  </w:num>
  <w:num w:numId="16" w16cid:durableId="756364639">
    <w:abstractNumId w:val="18"/>
    <w:lvlOverride w:ilvl="0">
      <w:startOverride w:val="1"/>
    </w:lvlOverride>
  </w:num>
  <w:num w:numId="17" w16cid:durableId="752091733">
    <w:abstractNumId w:val="31"/>
  </w:num>
  <w:num w:numId="18" w16cid:durableId="1911453780">
    <w:abstractNumId w:val="18"/>
    <w:lvlOverride w:ilvl="0">
      <w:startOverride w:val="1"/>
    </w:lvlOverride>
  </w:num>
  <w:num w:numId="19" w16cid:durableId="481195210">
    <w:abstractNumId w:val="2"/>
  </w:num>
  <w:num w:numId="20" w16cid:durableId="266081771">
    <w:abstractNumId w:val="30"/>
    <w:lvlOverride w:ilvl="0">
      <w:startOverride w:val="1"/>
    </w:lvlOverride>
    <w:lvlOverride w:ilvl="1"/>
    <w:lvlOverride w:ilvl="2"/>
    <w:lvlOverride w:ilvl="3"/>
    <w:lvlOverride w:ilvl="4"/>
    <w:lvlOverride w:ilvl="5"/>
    <w:lvlOverride w:ilvl="6"/>
    <w:lvlOverride w:ilvl="7"/>
    <w:lvlOverride w:ilvl="8"/>
  </w:num>
  <w:num w:numId="21" w16cid:durableId="637803841">
    <w:abstractNumId w:val="10"/>
  </w:num>
  <w:num w:numId="22" w16cid:durableId="2056195332">
    <w:abstractNumId w:val="15"/>
  </w:num>
  <w:num w:numId="23" w16cid:durableId="879323887">
    <w:abstractNumId w:val="6"/>
  </w:num>
  <w:num w:numId="24" w16cid:durableId="1096365113">
    <w:abstractNumId w:val="22"/>
  </w:num>
  <w:num w:numId="25" w16cid:durableId="2076780489">
    <w:abstractNumId w:val="29"/>
  </w:num>
  <w:num w:numId="26" w16cid:durableId="701630439">
    <w:abstractNumId w:val="13"/>
  </w:num>
  <w:num w:numId="27" w16cid:durableId="1821386568">
    <w:abstractNumId w:val="3"/>
  </w:num>
  <w:num w:numId="28" w16cid:durableId="461390407">
    <w:abstractNumId w:val="16"/>
  </w:num>
  <w:num w:numId="29" w16cid:durableId="271783809">
    <w:abstractNumId w:val="0"/>
  </w:num>
  <w:num w:numId="30" w16cid:durableId="1481337930">
    <w:abstractNumId w:val="17"/>
  </w:num>
  <w:num w:numId="31" w16cid:durableId="1924216513">
    <w:abstractNumId w:val="8"/>
  </w:num>
  <w:num w:numId="32" w16cid:durableId="519124548">
    <w:abstractNumId w:val="1"/>
  </w:num>
  <w:num w:numId="33" w16cid:durableId="356856622">
    <w:abstractNumId w:val="28"/>
  </w:num>
  <w:num w:numId="34" w16cid:durableId="10983358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00"/>
    <w:rsid w:val="00000A09"/>
    <w:rsid w:val="000056FB"/>
    <w:rsid w:val="00005D2D"/>
    <w:rsid w:val="000064BE"/>
    <w:rsid w:val="00011100"/>
    <w:rsid w:val="00020A14"/>
    <w:rsid w:val="00022140"/>
    <w:rsid w:val="00022EED"/>
    <w:rsid w:val="0002364B"/>
    <w:rsid w:val="00026612"/>
    <w:rsid w:val="000327AD"/>
    <w:rsid w:val="00032C40"/>
    <w:rsid w:val="00042C58"/>
    <w:rsid w:val="0006457E"/>
    <w:rsid w:val="00081BE5"/>
    <w:rsid w:val="000A2615"/>
    <w:rsid w:val="000A265A"/>
    <w:rsid w:val="000A39FF"/>
    <w:rsid w:val="000A69E9"/>
    <w:rsid w:val="000A6D8F"/>
    <w:rsid w:val="000B07BA"/>
    <w:rsid w:val="000B6973"/>
    <w:rsid w:val="000C5410"/>
    <w:rsid w:val="000C5CCF"/>
    <w:rsid w:val="000D2053"/>
    <w:rsid w:val="000D6CC9"/>
    <w:rsid w:val="000E5E8A"/>
    <w:rsid w:val="000E6077"/>
    <w:rsid w:val="000F2E4A"/>
    <w:rsid w:val="001104C8"/>
    <w:rsid w:val="00111C93"/>
    <w:rsid w:val="00113E0D"/>
    <w:rsid w:val="001225DE"/>
    <w:rsid w:val="00133290"/>
    <w:rsid w:val="0013442C"/>
    <w:rsid w:val="00134F56"/>
    <w:rsid w:val="00135C00"/>
    <w:rsid w:val="00143F6F"/>
    <w:rsid w:val="00144748"/>
    <w:rsid w:val="00144CED"/>
    <w:rsid w:val="001472E9"/>
    <w:rsid w:val="001508A8"/>
    <w:rsid w:val="001638C4"/>
    <w:rsid w:val="00170242"/>
    <w:rsid w:val="00171B12"/>
    <w:rsid w:val="0017501C"/>
    <w:rsid w:val="00180068"/>
    <w:rsid w:val="00184947"/>
    <w:rsid w:val="00185ED4"/>
    <w:rsid w:val="00194E19"/>
    <w:rsid w:val="001A58FB"/>
    <w:rsid w:val="001C2AA0"/>
    <w:rsid w:val="001D5819"/>
    <w:rsid w:val="001E1DF5"/>
    <w:rsid w:val="001E42E0"/>
    <w:rsid w:val="001F23CA"/>
    <w:rsid w:val="001F2695"/>
    <w:rsid w:val="001F5B44"/>
    <w:rsid w:val="001F5B79"/>
    <w:rsid w:val="00204D59"/>
    <w:rsid w:val="00205468"/>
    <w:rsid w:val="00206EF0"/>
    <w:rsid w:val="00225E3F"/>
    <w:rsid w:val="00233205"/>
    <w:rsid w:val="00235D76"/>
    <w:rsid w:val="00240319"/>
    <w:rsid w:val="00250C1F"/>
    <w:rsid w:val="00251FEC"/>
    <w:rsid w:val="00262BF7"/>
    <w:rsid w:val="00263351"/>
    <w:rsid w:val="00271251"/>
    <w:rsid w:val="002727CE"/>
    <w:rsid w:val="002759BC"/>
    <w:rsid w:val="00282153"/>
    <w:rsid w:val="002855FD"/>
    <w:rsid w:val="0029458D"/>
    <w:rsid w:val="002A0335"/>
    <w:rsid w:val="002A354F"/>
    <w:rsid w:val="002C1D6F"/>
    <w:rsid w:val="002D2491"/>
    <w:rsid w:val="002E2D90"/>
    <w:rsid w:val="002E5943"/>
    <w:rsid w:val="002F0176"/>
    <w:rsid w:val="002F2B1B"/>
    <w:rsid w:val="002F7ACF"/>
    <w:rsid w:val="00302F42"/>
    <w:rsid w:val="00305B18"/>
    <w:rsid w:val="00311AA4"/>
    <w:rsid w:val="00311BC1"/>
    <w:rsid w:val="00324C50"/>
    <w:rsid w:val="0032512E"/>
    <w:rsid w:val="00326E3D"/>
    <w:rsid w:val="003302B2"/>
    <w:rsid w:val="00331727"/>
    <w:rsid w:val="003324DA"/>
    <w:rsid w:val="003360EA"/>
    <w:rsid w:val="00340096"/>
    <w:rsid w:val="003421EC"/>
    <w:rsid w:val="00342AAA"/>
    <w:rsid w:val="003504D0"/>
    <w:rsid w:val="00353712"/>
    <w:rsid w:val="00355159"/>
    <w:rsid w:val="00391856"/>
    <w:rsid w:val="0039762B"/>
    <w:rsid w:val="003A1FBC"/>
    <w:rsid w:val="003A7926"/>
    <w:rsid w:val="003B09FF"/>
    <w:rsid w:val="003B3EA0"/>
    <w:rsid w:val="003C1087"/>
    <w:rsid w:val="003C11B7"/>
    <w:rsid w:val="003C518C"/>
    <w:rsid w:val="003D2D56"/>
    <w:rsid w:val="003D72F0"/>
    <w:rsid w:val="003D7E8B"/>
    <w:rsid w:val="003E27C5"/>
    <w:rsid w:val="003F341C"/>
    <w:rsid w:val="003F6D2E"/>
    <w:rsid w:val="00401045"/>
    <w:rsid w:val="00401AAD"/>
    <w:rsid w:val="00415AE5"/>
    <w:rsid w:val="00431F53"/>
    <w:rsid w:val="0043273E"/>
    <w:rsid w:val="00437F0E"/>
    <w:rsid w:val="00445582"/>
    <w:rsid w:val="00451409"/>
    <w:rsid w:val="00451B1D"/>
    <w:rsid w:val="00456D34"/>
    <w:rsid w:val="00460262"/>
    <w:rsid w:val="00464C56"/>
    <w:rsid w:val="00473074"/>
    <w:rsid w:val="004753B4"/>
    <w:rsid w:val="004805D8"/>
    <w:rsid w:val="00485661"/>
    <w:rsid w:val="0049199F"/>
    <w:rsid w:val="0049209D"/>
    <w:rsid w:val="00492AEF"/>
    <w:rsid w:val="00493529"/>
    <w:rsid w:val="004A4801"/>
    <w:rsid w:val="004A49B9"/>
    <w:rsid w:val="004A7FF0"/>
    <w:rsid w:val="004B2645"/>
    <w:rsid w:val="004B44E6"/>
    <w:rsid w:val="004B5478"/>
    <w:rsid w:val="004C0BCE"/>
    <w:rsid w:val="004C0CC8"/>
    <w:rsid w:val="004C1833"/>
    <w:rsid w:val="004C2833"/>
    <w:rsid w:val="004D2AF9"/>
    <w:rsid w:val="004D3FC3"/>
    <w:rsid w:val="004E125D"/>
    <w:rsid w:val="004E434A"/>
    <w:rsid w:val="004E6304"/>
    <w:rsid w:val="005016CC"/>
    <w:rsid w:val="005024D9"/>
    <w:rsid w:val="00502D50"/>
    <w:rsid w:val="005032AE"/>
    <w:rsid w:val="00504BC0"/>
    <w:rsid w:val="00512CCE"/>
    <w:rsid w:val="0051481F"/>
    <w:rsid w:val="00515C2F"/>
    <w:rsid w:val="0051611E"/>
    <w:rsid w:val="0052049F"/>
    <w:rsid w:val="00542D08"/>
    <w:rsid w:val="005431A0"/>
    <w:rsid w:val="00546C86"/>
    <w:rsid w:val="005478E9"/>
    <w:rsid w:val="0055263B"/>
    <w:rsid w:val="00554ACC"/>
    <w:rsid w:val="00557F4C"/>
    <w:rsid w:val="00560800"/>
    <w:rsid w:val="005738F1"/>
    <w:rsid w:val="005771F0"/>
    <w:rsid w:val="005808FD"/>
    <w:rsid w:val="00583DFE"/>
    <w:rsid w:val="00585250"/>
    <w:rsid w:val="00585568"/>
    <w:rsid w:val="00586D25"/>
    <w:rsid w:val="00591FBE"/>
    <w:rsid w:val="00593694"/>
    <w:rsid w:val="005956F3"/>
    <w:rsid w:val="00595D35"/>
    <w:rsid w:val="00596F85"/>
    <w:rsid w:val="005A1654"/>
    <w:rsid w:val="005A6E44"/>
    <w:rsid w:val="005A7857"/>
    <w:rsid w:val="005B0467"/>
    <w:rsid w:val="005B2433"/>
    <w:rsid w:val="005B2501"/>
    <w:rsid w:val="005C007D"/>
    <w:rsid w:val="005C2BF8"/>
    <w:rsid w:val="005C68DC"/>
    <w:rsid w:val="005D2EC8"/>
    <w:rsid w:val="005E0A22"/>
    <w:rsid w:val="005F06AC"/>
    <w:rsid w:val="005F51CD"/>
    <w:rsid w:val="005F6662"/>
    <w:rsid w:val="006055ED"/>
    <w:rsid w:val="00613DF0"/>
    <w:rsid w:val="00615D21"/>
    <w:rsid w:val="006174C3"/>
    <w:rsid w:val="006247CD"/>
    <w:rsid w:val="0062513E"/>
    <w:rsid w:val="0062711B"/>
    <w:rsid w:val="00631FCD"/>
    <w:rsid w:val="006369EB"/>
    <w:rsid w:val="00646B66"/>
    <w:rsid w:val="006549CB"/>
    <w:rsid w:val="0066325D"/>
    <w:rsid w:val="0066570F"/>
    <w:rsid w:val="00666A54"/>
    <w:rsid w:val="00675414"/>
    <w:rsid w:val="00684666"/>
    <w:rsid w:val="0068685A"/>
    <w:rsid w:val="00691A7D"/>
    <w:rsid w:val="00693D81"/>
    <w:rsid w:val="00697D2E"/>
    <w:rsid w:val="006A0EEC"/>
    <w:rsid w:val="006A2A68"/>
    <w:rsid w:val="006A6D09"/>
    <w:rsid w:val="006A72D6"/>
    <w:rsid w:val="006B1830"/>
    <w:rsid w:val="006B62BA"/>
    <w:rsid w:val="006B7770"/>
    <w:rsid w:val="006C62E6"/>
    <w:rsid w:val="006D3053"/>
    <w:rsid w:val="006D36C0"/>
    <w:rsid w:val="006E1810"/>
    <w:rsid w:val="006E56EE"/>
    <w:rsid w:val="006E58D4"/>
    <w:rsid w:val="006E647C"/>
    <w:rsid w:val="006F681C"/>
    <w:rsid w:val="006F6A4B"/>
    <w:rsid w:val="00701066"/>
    <w:rsid w:val="00703AD4"/>
    <w:rsid w:val="007058D1"/>
    <w:rsid w:val="00716FE4"/>
    <w:rsid w:val="00735AE2"/>
    <w:rsid w:val="007427EC"/>
    <w:rsid w:val="0074750A"/>
    <w:rsid w:val="00755D4A"/>
    <w:rsid w:val="0075740A"/>
    <w:rsid w:val="00781F55"/>
    <w:rsid w:val="007821ED"/>
    <w:rsid w:val="00784D59"/>
    <w:rsid w:val="00790A83"/>
    <w:rsid w:val="00796C0E"/>
    <w:rsid w:val="007A0563"/>
    <w:rsid w:val="007A32D7"/>
    <w:rsid w:val="007B39D5"/>
    <w:rsid w:val="007B3D1B"/>
    <w:rsid w:val="007B7347"/>
    <w:rsid w:val="007C5EEF"/>
    <w:rsid w:val="007D175C"/>
    <w:rsid w:val="007D35CD"/>
    <w:rsid w:val="007D5BC9"/>
    <w:rsid w:val="007E2847"/>
    <w:rsid w:val="007E5533"/>
    <w:rsid w:val="007E57A3"/>
    <w:rsid w:val="007E5C80"/>
    <w:rsid w:val="007F4A79"/>
    <w:rsid w:val="007F61ED"/>
    <w:rsid w:val="007F67AE"/>
    <w:rsid w:val="0082289E"/>
    <w:rsid w:val="00822ABC"/>
    <w:rsid w:val="008340D3"/>
    <w:rsid w:val="008371AC"/>
    <w:rsid w:val="00842B33"/>
    <w:rsid w:val="00842EA5"/>
    <w:rsid w:val="00850132"/>
    <w:rsid w:val="008505AF"/>
    <w:rsid w:val="0085415E"/>
    <w:rsid w:val="00862720"/>
    <w:rsid w:val="00862B08"/>
    <w:rsid w:val="0086350F"/>
    <w:rsid w:val="00864852"/>
    <w:rsid w:val="00864FC2"/>
    <w:rsid w:val="0086621C"/>
    <w:rsid w:val="0086696A"/>
    <w:rsid w:val="00866CC2"/>
    <w:rsid w:val="00870E4F"/>
    <w:rsid w:val="00872A05"/>
    <w:rsid w:val="008748D6"/>
    <w:rsid w:val="008874B5"/>
    <w:rsid w:val="008A6231"/>
    <w:rsid w:val="008A743C"/>
    <w:rsid w:val="008C2FEE"/>
    <w:rsid w:val="008D2E21"/>
    <w:rsid w:val="008E18DA"/>
    <w:rsid w:val="008F3532"/>
    <w:rsid w:val="00910075"/>
    <w:rsid w:val="0091138B"/>
    <w:rsid w:val="0091217A"/>
    <w:rsid w:val="00917E18"/>
    <w:rsid w:val="009229C0"/>
    <w:rsid w:val="009235D6"/>
    <w:rsid w:val="00930A6E"/>
    <w:rsid w:val="0093416B"/>
    <w:rsid w:val="00935BC3"/>
    <w:rsid w:val="00940056"/>
    <w:rsid w:val="00940557"/>
    <w:rsid w:val="00946E19"/>
    <w:rsid w:val="0095259A"/>
    <w:rsid w:val="0096213E"/>
    <w:rsid w:val="009626CB"/>
    <w:rsid w:val="00966C1E"/>
    <w:rsid w:val="00983F41"/>
    <w:rsid w:val="00984296"/>
    <w:rsid w:val="009867EC"/>
    <w:rsid w:val="009908D6"/>
    <w:rsid w:val="00991228"/>
    <w:rsid w:val="009919C7"/>
    <w:rsid w:val="00992405"/>
    <w:rsid w:val="00994C9D"/>
    <w:rsid w:val="00995256"/>
    <w:rsid w:val="0099791C"/>
    <w:rsid w:val="009A3B7C"/>
    <w:rsid w:val="009B43CF"/>
    <w:rsid w:val="009B6DBB"/>
    <w:rsid w:val="009C4D42"/>
    <w:rsid w:val="009C5C03"/>
    <w:rsid w:val="009C6401"/>
    <w:rsid w:val="009C6FB8"/>
    <w:rsid w:val="009D0600"/>
    <w:rsid w:val="009D4D25"/>
    <w:rsid w:val="009D7267"/>
    <w:rsid w:val="009F1D12"/>
    <w:rsid w:val="00A16357"/>
    <w:rsid w:val="00A1757B"/>
    <w:rsid w:val="00A2000D"/>
    <w:rsid w:val="00A21E63"/>
    <w:rsid w:val="00A22CD3"/>
    <w:rsid w:val="00A234A0"/>
    <w:rsid w:val="00A26675"/>
    <w:rsid w:val="00A310DE"/>
    <w:rsid w:val="00A31381"/>
    <w:rsid w:val="00A3393F"/>
    <w:rsid w:val="00A416AC"/>
    <w:rsid w:val="00A447F5"/>
    <w:rsid w:val="00A45E33"/>
    <w:rsid w:val="00A5412B"/>
    <w:rsid w:val="00A62DD0"/>
    <w:rsid w:val="00A70EB4"/>
    <w:rsid w:val="00A745D7"/>
    <w:rsid w:val="00A7594F"/>
    <w:rsid w:val="00A90A4F"/>
    <w:rsid w:val="00A933DD"/>
    <w:rsid w:val="00A96526"/>
    <w:rsid w:val="00AB62D0"/>
    <w:rsid w:val="00AC33DF"/>
    <w:rsid w:val="00AC3C01"/>
    <w:rsid w:val="00AC46A4"/>
    <w:rsid w:val="00AC514D"/>
    <w:rsid w:val="00AC696B"/>
    <w:rsid w:val="00AD77F8"/>
    <w:rsid w:val="00AE4BFA"/>
    <w:rsid w:val="00AE64D0"/>
    <w:rsid w:val="00B00A83"/>
    <w:rsid w:val="00B076AF"/>
    <w:rsid w:val="00B07B16"/>
    <w:rsid w:val="00B1400A"/>
    <w:rsid w:val="00B214E2"/>
    <w:rsid w:val="00B21C34"/>
    <w:rsid w:val="00B23C19"/>
    <w:rsid w:val="00B31FA0"/>
    <w:rsid w:val="00B35260"/>
    <w:rsid w:val="00B4390E"/>
    <w:rsid w:val="00B45A74"/>
    <w:rsid w:val="00B53EA5"/>
    <w:rsid w:val="00B618C8"/>
    <w:rsid w:val="00B6356F"/>
    <w:rsid w:val="00B675BD"/>
    <w:rsid w:val="00B73A44"/>
    <w:rsid w:val="00B77631"/>
    <w:rsid w:val="00B87EBA"/>
    <w:rsid w:val="00B91CC8"/>
    <w:rsid w:val="00B92860"/>
    <w:rsid w:val="00B95184"/>
    <w:rsid w:val="00B96BBA"/>
    <w:rsid w:val="00B97902"/>
    <w:rsid w:val="00BA01BA"/>
    <w:rsid w:val="00BA0CFE"/>
    <w:rsid w:val="00BA6187"/>
    <w:rsid w:val="00BB4C77"/>
    <w:rsid w:val="00BB58EA"/>
    <w:rsid w:val="00BC4B27"/>
    <w:rsid w:val="00BD2B39"/>
    <w:rsid w:val="00BD3B57"/>
    <w:rsid w:val="00BD5CDD"/>
    <w:rsid w:val="00BE2B6C"/>
    <w:rsid w:val="00BE2D5D"/>
    <w:rsid w:val="00BF34A8"/>
    <w:rsid w:val="00BF6F06"/>
    <w:rsid w:val="00C02488"/>
    <w:rsid w:val="00C02674"/>
    <w:rsid w:val="00C0485B"/>
    <w:rsid w:val="00C12F7C"/>
    <w:rsid w:val="00C13980"/>
    <w:rsid w:val="00C1671F"/>
    <w:rsid w:val="00C17524"/>
    <w:rsid w:val="00C23312"/>
    <w:rsid w:val="00C2513F"/>
    <w:rsid w:val="00C277D7"/>
    <w:rsid w:val="00C31226"/>
    <w:rsid w:val="00C3325B"/>
    <w:rsid w:val="00C3594D"/>
    <w:rsid w:val="00C36502"/>
    <w:rsid w:val="00C422AB"/>
    <w:rsid w:val="00C42AC8"/>
    <w:rsid w:val="00C4333D"/>
    <w:rsid w:val="00C50F5E"/>
    <w:rsid w:val="00C53D3C"/>
    <w:rsid w:val="00C604FA"/>
    <w:rsid w:val="00C66B3E"/>
    <w:rsid w:val="00C66F67"/>
    <w:rsid w:val="00C67D09"/>
    <w:rsid w:val="00C73775"/>
    <w:rsid w:val="00C85E3E"/>
    <w:rsid w:val="00C92203"/>
    <w:rsid w:val="00C92FAA"/>
    <w:rsid w:val="00C958ED"/>
    <w:rsid w:val="00C96B1F"/>
    <w:rsid w:val="00CA06BD"/>
    <w:rsid w:val="00CA12E9"/>
    <w:rsid w:val="00CB172D"/>
    <w:rsid w:val="00CB319A"/>
    <w:rsid w:val="00CB44A2"/>
    <w:rsid w:val="00CB5070"/>
    <w:rsid w:val="00CC2627"/>
    <w:rsid w:val="00CC4283"/>
    <w:rsid w:val="00CD2A11"/>
    <w:rsid w:val="00CD377B"/>
    <w:rsid w:val="00CD49BC"/>
    <w:rsid w:val="00CD6441"/>
    <w:rsid w:val="00CD688F"/>
    <w:rsid w:val="00CD7B6E"/>
    <w:rsid w:val="00CE0753"/>
    <w:rsid w:val="00CE1C34"/>
    <w:rsid w:val="00CE7EEC"/>
    <w:rsid w:val="00CF25A0"/>
    <w:rsid w:val="00CF6E19"/>
    <w:rsid w:val="00D05B91"/>
    <w:rsid w:val="00D05DF1"/>
    <w:rsid w:val="00D104A7"/>
    <w:rsid w:val="00D11643"/>
    <w:rsid w:val="00D11FBD"/>
    <w:rsid w:val="00D12F7F"/>
    <w:rsid w:val="00D210C4"/>
    <w:rsid w:val="00D21685"/>
    <w:rsid w:val="00D221A9"/>
    <w:rsid w:val="00D3069A"/>
    <w:rsid w:val="00D31372"/>
    <w:rsid w:val="00D336B6"/>
    <w:rsid w:val="00D37253"/>
    <w:rsid w:val="00D410FE"/>
    <w:rsid w:val="00D634D4"/>
    <w:rsid w:val="00D63514"/>
    <w:rsid w:val="00D63E2F"/>
    <w:rsid w:val="00D67031"/>
    <w:rsid w:val="00D74DE2"/>
    <w:rsid w:val="00D81BE6"/>
    <w:rsid w:val="00D82803"/>
    <w:rsid w:val="00DA032C"/>
    <w:rsid w:val="00DA726E"/>
    <w:rsid w:val="00DB0FFC"/>
    <w:rsid w:val="00DC2EA8"/>
    <w:rsid w:val="00DD3A8B"/>
    <w:rsid w:val="00DD53B5"/>
    <w:rsid w:val="00DD68C4"/>
    <w:rsid w:val="00DE2410"/>
    <w:rsid w:val="00DE3F27"/>
    <w:rsid w:val="00DF2B14"/>
    <w:rsid w:val="00DF39A0"/>
    <w:rsid w:val="00DF3F66"/>
    <w:rsid w:val="00E00218"/>
    <w:rsid w:val="00E03CD9"/>
    <w:rsid w:val="00E10C18"/>
    <w:rsid w:val="00E13F11"/>
    <w:rsid w:val="00E15287"/>
    <w:rsid w:val="00E1579C"/>
    <w:rsid w:val="00E169DD"/>
    <w:rsid w:val="00E16EB6"/>
    <w:rsid w:val="00E2284D"/>
    <w:rsid w:val="00E25086"/>
    <w:rsid w:val="00E26A78"/>
    <w:rsid w:val="00E271C2"/>
    <w:rsid w:val="00E30D0B"/>
    <w:rsid w:val="00E31A89"/>
    <w:rsid w:val="00E3468F"/>
    <w:rsid w:val="00E4486E"/>
    <w:rsid w:val="00E459CC"/>
    <w:rsid w:val="00E45B09"/>
    <w:rsid w:val="00E46DC3"/>
    <w:rsid w:val="00E529CC"/>
    <w:rsid w:val="00E6484B"/>
    <w:rsid w:val="00E65715"/>
    <w:rsid w:val="00E6626A"/>
    <w:rsid w:val="00E80EBA"/>
    <w:rsid w:val="00E849B5"/>
    <w:rsid w:val="00E90C4E"/>
    <w:rsid w:val="00E95A50"/>
    <w:rsid w:val="00EA3086"/>
    <w:rsid w:val="00EC2D7D"/>
    <w:rsid w:val="00EC6879"/>
    <w:rsid w:val="00ED143D"/>
    <w:rsid w:val="00ED48D2"/>
    <w:rsid w:val="00ED493A"/>
    <w:rsid w:val="00EE5624"/>
    <w:rsid w:val="00EE5905"/>
    <w:rsid w:val="00EF5EDC"/>
    <w:rsid w:val="00EF5F15"/>
    <w:rsid w:val="00EF636B"/>
    <w:rsid w:val="00EF6E7F"/>
    <w:rsid w:val="00EF7749"/>
    <w:rsid w:val="00F017FD"/>
    <w:rsid w:val="00F0785A"/>
    <w:rsid w:val="00F13E00"/>
    <w:rsid w:val="00F20266"/>
    <w:rsid w:val="00F218B2"/>
    <w:rsid w:val="00F246C8"/>
    <w:rsid w:val="00F27633"/>
    <w:rsid w:val="00F43836"/>
    <w:rsid w:val="00F51AD0"/>
    <w:rsid w:val="00F520C1"/>
    <w:rsid w:val="00F57703"/>
    <w:rsid w:val="00F629F3"/>
    <w:rsid w:val="00F6441F"/>
    <w:rsid w:val="00F646CF"/>
    <w:rsid w:val="00F658DE"/>
    <w:rsid w:val="00F66CC9"/>
    <w:rsid w:val="00F67948"/>
    <w:rsid w:val="00F718AC"/>
    <w:rsid w:val="00F7495E"/>
    <w:rsid w:val="00F75E44"/>
    <w:rsid w:val="00F80638"/>
    <w:rsid w:val="00F83866"/>
    <w:rsid w:val="00F901E4"/>
    <w:rsid w:val="00F913AB"/>
    <w:rsid w:val="00F9276A"/>
    <w:rsid w:val="00F947DA"/>
    <w:rsid w:val="00FA6316"/>
    <w:rsid w:val="00FA6CB7"/>
    <w:rsid w:val="00FB6CD7"/>
    <w:rsid w:val="00FC78E7"/>
    <w:rsid w:val="00FD1A78"/>
    <w:rsid w:val="00FD459B"/>
    <w:rsid w:val="00FE5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4C0F1"/>
  <w15:chartTrackingRefBased/>
  <w15:docId w15:val="{B93B50B3-7D43-4A77-A30F-2DC74303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76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A49B9"/>
    <w:rPr>
      <w:sz w:val="20"/>
      <w:szCs w:val="20"/>
    </w:rPr>
  </w:style>
  <w:style w:type="character" w:styleId="FootnoteReference">
    <w:name w:val="footnote reference"/>
    <w:semiHidden/>
    <w:rsid w:val="004A49B9"/>
    <w:rPr>
      <w:vertAlign w:val="superscript"/>
    </w:rPr>
  </w:style>
  <w:style w:type="paragraph" w:styleId="ListParagraph">
    <w:name w:val="List Paragraph"/>
    <w:basedOn w:val="Normal"/>
    <w:uiPriority w:val="34"/>
    <w:qFormat/>
    <w:rsid w:val="005478E9"/>
    <w:pPr>
      <w:numPr>
        <w:numId w:val="1"/>
      </w:numPr>
      <w:tabs>
        <w:tab w:val="clear" w:pos="720"/>
        <w:tab w:val="num" w:pos="426"/>
      </w:tabs>
      <w:spacing w:before="240"/>
      <w:ind w:left="426"/>
    </w:pPr>
  </w:style>
  <w:style w:type="character" w:styleId="CommentReference">
    <w:name w:val="annotation reference"/>
    <w:uiPriority w:val="99"/>
    <w:semiHidden/>
    <w:unhideWhenUsed/>
    <w:rsid w:val="00842EA5"/>
    <w:rPr>
      <w:sz w:val="16"/>
      <w:szCs w:val="16"/>
    </w:rPr>
  </w:style>
  <w:style w:type="paragraph" w:styleId="CommentText">
    <w:name w:val="annotation text"/>
    <w:basedOn w:val="Normal"/>
    <w:link w:val="CommentTextChar"/>
    <w:uiPriority w:val="99"/>
    <w:semiHidden/>
    <w:unhideWhenUsed/>
    <w:rsid w:val="00842EA5"/>
    <w:rPr>
      <w:sz w:val="20"/>
      <w:szCs w:val="20"/>
    </w:rPr>
  </w:style>
  <w:style w:type="character" w:customStyle="1" w:styleId="CommentTextChar">
    <w:name w:val="Comment Text Char"/>
    <w:link w:val="CommentText"/>
    <w:uiPriority w:val="99"/>
    <w:semiHidden/>
    <w:rsid w:val="00842EA5"/>
    <w:rPr>
      <w:rFonts w:ascii="Arial" w:hAnsi="Arial"/>
    </w:rPr>
  </w:style>
  <w:style w:type="paragraph" w:styleId="CommentSubject">
    <w:name w:val="annotation subject"/>
    <w:basedOn w:val="CommentText"/>
    <w:next w:val="CommentText"/>
    <w:link w:val="CommentSubjectChar"/>
    <w:uiPriority w:val="99"/>
    <w:semiHidden/>
    <w:unhideWhenUsed/>
    <w:rsid w:val="00842EA5"/>
    <w:rPr>
      <w:b/>
      <w:bCs/>
    </w:rPr>
  </w:style>
  <w:style w:type="character" w:customStyle="1" w:styleId="CommentSubjectChar">
    <w:name w:val="Comment Subject Char"/>
    <w:link w:val="CommentSubject"/>
    <w:uiPriority w:val="99"/>
    <w:semiHidden/>
    <w:rsid w:val="00842EA5"/>
    <w:rPr>
      <w:rFonts w:ascii="Arial" w:hAnsi="Arial"/>
      <w:b/>
      <w:bCs/>
    </w:rPr>
  </w:style>
  <w:style w:type="paragraph" w:styleId="BalloonText">
    <w:name w:val="Balloon Text"/>
    <w:basedOn w:val="Normal"/>
    <w:link w:val="BalloonTextChar"/>
    <w:uiPriority w:val="99"/>
    <w:semiHidden/>
    <w:unhideWhenUsed/>
    <w:rsid w:val="00842EA5"/>
    <w:rPr>
      <w:rFonts w:ascii="Segoe UI" w:hAnsi="Segoe UI" w:cs="Segoe UI"/>
      <w:sz w:val="18"/>
      <w:szCs w:val="18"/>
    </w:rPr>
  </w:style>
  <w:style w:type="character" w:customStyle="1" w:styleId="BalloonTextChar">
    <w:name w:val="Balloon Text Char"/>
    <w:link w:val="BalloonText"/>
    <w:uiPriority w:val="99"/>
    <w:semiHidden/>
    <w:rsid w:val="00842EA5"/>
    <w:rPr>
      <w:rFonts w:ascii="Segoe UI" w:hAnsi="Segoe UI" w:cs="Segoe UI"/>
      <w:sz w:val="18"/>
      <w:szCs w:val="18"/>
    </w:rPr>
  </w:style>
  <w:style w:type="character" w:customStyle="1" w:styleId="Heading2">
    <w:name w:val="Heading 2_"/>
    <w:basedOn w:val="DefaultParagraphFont"/>
    <w:qFormat/>
    <w:rsid w:val="00D63514"/>
    <w:rPr>
      <w:rFonts w:ascii="Arial Narrow" w:hAnsi="Arial Narrow"/>
      <w:b/>
      <w:bCs/>
      <w:sz w:val="32"/>
    </w:rPr>
  </w:style>
  <w:style w:type="character" w:customStyle="1" w:styleId="Heading4">
    <w:name w:val="Heading 4_"/>
    <w:basedOn w:val="DefaultParagraphFont"/>
    <w:qFormat/>
    <w:rsid w:val="00D63514"/>
    <w:rPr>
      <w:b/>
      <w:bCs/>
      <w:caps/>
      <w:smallCaps w:val="0"/>
      <w:vanish w:val="0"/>
    </w:rPr>
  </w:style>
  <w:style w:type="paragraph" w:styleId="Header">
    <w:name w:val="header"/>
    <w:basedOn w:val="Normal"/>
    <w:link w:val="HeaderChar"/>
    <w:uiPriority w:val="99"/>
    <w:unhideWhenUsed/>
    <w:rsid w:val="00A70EB4"/>
    <w:pPr>
      <w:tabs>
        <w:tab w:val="center" w:pos="4513"/>
        <w:tab w:val="right" w:pos="9026"/>
      </w:tabs>
    </w:pPr>
  </w:style>
  <w:style w:type="character" w:customStyle="1" w:styleId="HeaderChar">
    <w:name w:val="Header Char"/>
    <w:basedOn w:val="DefaultParagraphFont"/>
    <w:link w:val="Header"/>
    <w:uiPriority w:val="99"/>
    <w:rsid w:val="00A70EB4"/>
    <w:rPr>
      <w:rFonts w:ascii="Arial" w:hAnsi="Arial"/>
      <w:sz w:val="24"/>
      <w:szCs w:val="24"/>
    </w:rPr>
  </w:style>
  <w:style w:type="paragraph" w:styleId="Footer">
    <w:name w:val="footer"/>
    <w:basedOn w:val="Normal"/>
    <w:link w:val="FooterChar"/>
    <w:uiPriority w:val="99"/>
    <w:unhideWhenUsed/>
    <w:rsid w:val="00A70EB4"/>
    <w:pPr>
      <w:tabs>
        <w:tab w:val="center" w:pos="4513"/>
        <w:tab w:val="right" w:pos="9026"/>
      </w:tabs>
    </w:pPr>
  </w:style>
  <w:style w:type="character" w:customStyle="1" w:styleId="FooterChar">
    <w:name w:val="Footer Char"/>
    <w:basedOn w:val="DefaultParagraphFont"/>
    <w:link w:val="Footer"/>
    <w:uiPriority w:val="99"/>
    <w:rsid w:val="00A70EB4"/>
    <w:rPr>
      <w:rFonts w:ascii="Arial" w:hAnsi="Arial"/>
      <w:sz w:val="24"/>
      <w:szCs w:val="24"/>
    </w:rPr>
  </w:style>
  <w:style w:type="character" w:customStyle="1" w:styleId="fontstyle01">
    <w:name w:val="fontstyle01"/>
    <w:basedOn w:val="DefaultParagraphFont"/>
    <w:rsid w:val="00EE5624"/>
    <w:rPr>
      <w:rFonts w:ascii="Verdana-Italic" w:hAnsi="Verdana-Italic" w:hint="default"/>
      <w:b w:val="0"/>
      <w:bCs w:val="0"/>
      <w:i/>
      <w:iCs/>
      <w:color w:val="000000"/>
      <w:sz w:val="22"/>
      <w:szCs w:val="22"/>
    </w:rPr>
  </w:style>
  <w:style w:type="paragraph" w:styleId="NoSpacing">
    <w:name w:val="No Spacing"/>
    <w:uiPriority w:val="1"/>
    <w:qFormat/>
    <w:rsid w:val="00135C00"/>
    <w:rPr>
      <w:rFonts w:ascii="Arial" w:hAnsi="Arial"/>
      <w:sz w:val="24"/>
      <w:szCs w:val="24"/>
    </w:rPr>
  </w:style>
  <w:style w:type="character" w:customStyle="1" w:styleId="FootnoteTextChar">
    <w:name w:val="Footnote Text Char"/>
    <w:basedOn w:val="DefaultParagraphFont"/>
    <w:link w:val="FootnoteText"/>
    <w:semiHidden/>
    <w:rsid w:val="00966C1E"/>
    <w:rPr>
      <w:rFonts w:ascii="Arial" w:hAnsi="Arial"/>
    </w:rPr>
  </w:style>
  <w:style w:type="character" w:styleId="Hyperlink">
    <w:name w:val="Hyperlink"/>
    <w:basedOn w:val="DefaultParagraphFont"/>
    <w:uiPriority w:val="99"/>
    <w:unhideWhenUsed/>
    <w:rsid w:val="00D11FBD"/>
    <w:rPr>
      <w:color w:val="0563C1" w:themeColor="hyperlink"/>
      <w:u w:val="single"/>
    </w:rPr>
  </w:style>
  <w:style w:type="character" w:styleId="UnresolvedMention">
    <w:name w:val="Unresolved Mention"/>
    <w:basedOn w:val="DefaultParagraphFont"/>
    <w:uiPriority w:val="99"/>
    <w:semiHidden/>
    <w:unhideWhenUsed/>
    <w:rsid w:val="00D11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43832">
      <w:bodyDiv w:val="1"/>
      <w:marLeft w:val="0"/>
      <w:marRight w:val="0"/>
      <w:marTop w:val="0"/>
      <w:marBottom w:val="0"/>
      <w:divBdr>
        <w:top w:val="none" w:sz="0" w:space="0" w:color="auto"/>
        <w:left w:val="none" w:sz="0" w:space="0" w:color="auto"/>
        <w:bottom w:val="none" w:sz="0" w:space="0" w:color="auto"/>
        <w:right w:val="none" w:sz="0" w:space="0" w:color="auto"/>
      </w:divBdr>
    </w:div>
    <w:div w:id="1197813575">
      <w:bodyDiv w:val="1"/>
      <w:marLeft w:val="0"/>
      <w:marRight w:val="0"/>
      <w:marTop w:val="0"/>
      <w:marBottom w:val="0"/>
      <w:divBdr>
        <w:top w:val="none" w:sz="0" w:space="0" w:color="auto"/>
        <w:left w:val="none" w:sz="0" w:space="0" w:color="auto"/>
        <w:bottom w:val="none" w:sz="0" w:space="0" w:color="auto"/>
        <w:right w:val="none" w:sz="0" w:space="0" w:color="auto"/>
      </w:divBdr>
      <w:divsChild>
        <w:div w:id="821888566">
          <w:marLeft w:val="30"/>
          <w:marRight w:val="0"/>
          <w:marTop w:val="0"/>
          <w:marBottom w:val="0"/>
          <w:divBdr>
            <w:top w:val="none" w:sz="0" w:space="0" w:color="auto"/>
            <w:left w:val="none" w:sz="0" w:space="0" w:color="auto"/>
            <w:bottom w:val="none" w:sz="0" w:space="0" w:color="auto"/>
            <w:right w:val="none" w:sz="0" w:space="0" w:color="auto"/>
          </w:divBdr>
          <w:divsChild>
            <w:div w:id="1665932481">
              <w:marLeft w:val="0"/>
              <w:marRight w:val="0"/>
              <w:marTop w:val="0"/>
              <w:marBottom w:val="0"/>
              <w:divBdr>
                <w:top w:val="none" w:sz="0" w:space="0" w:color="auto"/>
                <w:left w:val="none" w:sz="0" w:space="0" w:color="auto"/>
                <w:bottom w:val="none" w:sz="0" w:space="0" w:color="auto"/>
                <w:right w:val="none" w:sz="0" w:space="0" w:color="auto"/>
              </w:divBdr>
              <w:divsChild>
                <w:div w:id="532235598">
                  <w:marLeft w:val="0"/>
                  <w:marRight w:val="0"/>
                  <w:marTop w:val="0"/>
                  <w:marBottom w:val="0"/>
                  <w:divBdr>
                    <w:top w:val="none" w:sz="0" w:space="0" w:color="auto"/>
                    <w:left w:val="none" w:sz="0" w:space="0" w:color="auto"/>
                    <w:bottom w:val="none" w:sz="0" w:space="0" w:color="auto"/>
                    <w:right w:val="none" w:sz="0" w:space="0" w:color="auto"/>
                  </w:divBdr>
                  <w:divsChild>
                    <w:div w:id="1956018689">
                      <w:marLeft w:val="0"/>
                      <w:marRight w:val="0"/>
                      <w:marTop w:val="0"/>
                      <w:marBottom w:val="0"/>
                      <w:divBdr>
                        <w:top w:val="none" w:sz="0" w:space="0" w:color="auto"/>
                        <w:left w:val="none" w:sz="0" w:space="0" w:color="auto"/>
                        <w:bottom w:val="none" w:sz="0" w:space="0" w:color="auto"/>
                        <w:right w:val="none" w:sz="0" w:space="0" w:color="auto"/>
                      </w:divBdr>
                      <w:divsChild>
                        <w:div w:id="511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530679">
      <w:bodyDiv w:val="1"/>
      <w:marLeft w:val="0"/>
      <w:marRight w:val="0"/>
      <w:marTop w:val="0"/>
      <w:marBottom w:val="0"/>
      <w:divBdr>
        <w:top w:val="none" w:sz="0" w:space="0" w:color="auto"/>
        <w:left w:val="none" w:sz="0" w:space="0" w:color="auto"/>
        <w:bottom w:val="none" w:sz="0" w:space="0" w:color="auto"/>
        <w:right w:val="none" w:sz="0" w:space="0" w:color="auto"/>
      </w:divBdr>
      <w:divsChild>
        <w:div w:id="1920555163">
          <w:marLeft w:val="30"/>
          <w:marRight w:val="0"/>
          <w:marTop w:val="0"/>
          <w:marBottom w:val="0"/>
          <w:divBdr>
            <w:top w:val="none" w:sz="0" w:space="0" w:color="auto"/>
            <w:left w:val="none" w:sz="0" w:space="0" w:color="auto"/>
            <w:bottom w:val="none" w:sz="0" w:space="0" w:color="auto"/>
            <w:right w:val="none" w:sz="0" w:space="0" w:color="auto"/>
          </w:divBdr>
          <w:divsChild>
            <w:div w:id="1878346176">
              <w:marLeft w:val="0"/>
              <w:marRight w:val="0"/>
              <w:marTop w:val="0"/>
              <w:marBottom w:val="0"/>
              <w:divBdr>
                <w:top w:val="none" w:sz="0" w:space="0" w:color="auto"/>
                <w:left w:val="none" w:sz="0" w:space="0" w:color="auto"/>
                <w:bottom w:val="none" w:sz="0" w:space="0" w:color="auto"/>
                <w:right w:val="none" w:sz="0" w:space="0" w:color="auto"/>
              </w:divBdr>
              <w:divsChild>
                <w:div w:id="839538664">
                  <w:marLeft w:val="0"/>
                  <w:marRight w:val="0"/>
                  <w:marTop w:val="0"/>
                  <w:marBottom w:val="0"/>
                  <w:divBdr>
                    <w:top w:val="none" w:sz="0" w:space="0" w:color="auto"/>
                    <w:left w:val="none" w:sz="0" w:space="0" w:color="auto"/>
                    <w:bottom w:val="none" w:sz="0" w:space="0" w:color="auto"/>
                    <w:right w:val="none" w:sz="0" w:space="0" w:color="auto"/>
                  </w:divBdr>
                  <w:divsChild>
                    <w:div w:id="1690109080">
                      <w:marLeft w:val="0"/>
                      <w:marRight w:val="0"/>
                      <w:marTop w:val="0"/>
                      <w:marBottom w:val="0"/>
                      <w:divBdr>
                        <w:top w:val="none" w:sz="0" w:space="0" w:color="auto"/>
                        <w:left w:val="none" w:sz="0" w:space="0" w:color="auto"/>
                        <w:bottom w:val="none" w:sz="0" w:space="0" w:color="auto"/>
                        <w:right w:val="none" w:sz="0" w:space="0" w:color="auto"/>
                      </w:divBdr>
                      <w:divsChild>
                        <w:div w:id="191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7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utrient-pollution-reducing-the-impact-on-protected-sites/nutrient-pollution-reducing-the-impact-on-protected-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888C-D744-420F-BEF8-413112DB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9390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Screening Statement on the determination of the need for a Strategic Environmental Assessment (SEA) in accordance with the Env</vt:lpstr>
    </vt:vector>
  </TitlesOfParts>
  <Company>South Oxfordshire District Council</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Statement on the determination of the need for a Strategic Environmental Assessment (SEA) in accordance with the Env</dc:title>
  <dc:subject/>
  <dc:creator>guesth</dc:creator>
  <cp:keywords/>
  <dc:description/>
  <cp:lastModifiedBy>Oruye, Tim</cp:lastModifiedBy>
  <cp:revision>2</cp:revision>
  <cp:lastPrinted>2018-11-29T14:31:00Z</cp:lastPrinted>
  <dcterms:created xsi:type="dcterms:W3CDTF">2023-05-10T22:59:00Z</dcterms:created>
  <dcterms:modified xsi:type="dcterms:W3CDTF">2023-05-10T22:59:00Z</dcterms:modified>
</cp:coreProperties>
</file>