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0E3B" w14:textId="32BD3C7B" w:rsidR="00292F57" w:rsidRPr="005C1CD7" w:rsidRDefault="00292F57" w:rsidP="00292F57">
      <w:pPr>
        <w:rPr>
          <w:rFonts w:ascii="Arial" w:hAnsi="Arial" w:cs="Arial"/>
          <w:b/>
          <w:bCs/>
          <w:sz w:val="36"/>
          <w:szCs w:val="36"/>
        </w:rPr>
      </w:pPr>
      <w:r w:rsidRPr="005C1CD7">
        <w:rPr>
          <w:rFonts w:ascii="Arial" w:hAnsi="Arial" w:cs="Arial"/>
          <w:b/>
          <w:bCs/>
          <w:sz w:val="24"/>
          <w:szCs w:val="24"/>
        </w:rPr>
        <w:t xml:space="preserve">Climate Action Fund awards – offered </w:t>
      </w:r>
      <w:r w:rsidR="00BA5320" w:rsidRPr="005C1CD7">
        <w:rPr>
          <w:rFonts w:ascii="Arial" w:hAnsi="Arial" w:cs="Arial"/>
          <w:b/>
          <w:bCs/>
          <w:sz w:val="24"/>
          <w:szCs w:val="24"/>
        </w:rPr>
        <w:t>June 2022</w:t>
      </w:r>
    </w:p>
    <w:p w14:paraId="1803E71F" w14:textId="77777777" w:rsidR="00292F57" w:rsidRDefault="00292F57" w:rsidP="00292F5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074668" w14:paraId="5D5CB4AB" w14:textId="77777777" w:rsidTr="005C1CD7">
        <w:tc>
          <w:tcPr>
            <w:tcW w:w="2542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7C5F" w14:textId="77777777" w:rsidR="00074668" w:rsidRDefault="00074668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Organisation</w:t>
            </w:r>
          </w:p>
        </w:tc>
        <w:tc>
          <w:tcPr>
            <w:tcW w:w="6379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F625" w14:textId="77777777" w:rsidR="00074668" w:rsidRDefault="00074668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Description of project</w:t>
            </w:r>
          </w:p>
        </w:tc>
      </w:tr>
      <w:tr w:rsidR="00074668" w14:paraId="48B0A7E8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3477" w14:textId="7C1F7F19" w:rsidR="00074668" w:rsidRDefault="000746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Sustainable Botley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A786" w14:textId="0CF54020" w:rsidR="00074668" w:rsidRDefault="00074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Offering</w:t>
            </w:r>
            <w:r w:rsidRPr="00074668">
              <w:rPr>
                <w:rFonts w:ascii="Arial" w:hAnsi="Arial" w:cs="Arial"/>
                <w:sz w:val="24"/>
                <w:szCs w:val="24"/>
              </w:rPr>
              <w:t xml:space="preserve"> advice to householders on the principal measures they can take to stay warm and save energy on a tight budget, and/or to improve their home energy performance to at least EPC C rating and to carry out ‘DIY’ measures such as loft insulation</w:t>
            </w:r>
          </w:p>
        </w:tc>
      </w:tr>
      <w:tr w:rsidR="00074668" w14:paraId="6D53FE54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922E" w14:textId="34AA3545" w:rsidR="00074668" w:rsidRDefault="00074668">
            <w:pPr>
              <w:rPr>
                <w:rFonts w:ascii="Arial" w:hAnsi="Arial" w:cs="Arial"/>
                <w:sz w:val="24"/>
                <w:szCs w:val="24"/>
              </w:rPr>
            </w:pPr>
            <w:r w:rsidRPr="00074668">
              <w:rPr>
                <w:rFonts w:ascii="Arial" w:hAnsi="Arial" w:cs="Arial"/>
                <w:sz w:val="24"/>
                <w:szCs w:val="24"/>
              </w:rPr>
              <w:t>Down to Earth Community Café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B405" w14:textId="1EBB27DE" w:rsidR="00074668" w:rsidRDefault="00074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74668">
              <w:rPr>
                <w:rFonts w:ascii="Arial" w:hAnsi="Arial" w:cs="Arial"/>
                <w:sz w:val="24"/>
                <w:szCs w:val="24"/>
              </w:rPr>
              <w:t xml:space="preserve"> pilot programme of ‘Let’s Cook Sustainably’ cooking courses and ‘Climate Cook-Ins’ (community cooking events), adapted for vulnerable groups</w:t>
            </w:r>
          </w:p>
        </w:tc>
      </w:tr>
      <w:tr w:rsidR="00074668" w14:paraId="1FE2F911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76E0" w14:textId="1EF5C1F5" w:rsidR="00074668" w:rsidRDefault="00074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Wantage Draught Busters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2194" w14:textId="7F91F387" w:rsidR="00074668" w:rsidRDefault="00074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Offering s</w:t>
            </w:r>
            <w:r w:rsidRPr="00074668">
              <w:rPr>
                <w:rFonts w:ascii="Arial" w:hAnsi="Arial" w:cs="Arial"/>
                <w:sz w:val="24"/>
                <w:szCs w:val="24"/>
              </w:rPr>
              <w:t>imple adaptations or repairs to people’s homes to reduce heat loss, without any charge to them.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668">
              <w:rPr>
                <w:rFonts w:ascii="Arial" w:hAnsi="Arial" w:cs="Arial"/>
                <w:sz w:val="24"/>
                <w:szCs w:val="24"/>
              </w:rPr>
              <w:t>Aiming to target individuals and families who are in, or at risk of, fuel poverty</w:t>
            </w:r>
          </w:p>
        </w:tc>
      </w:tr>
      <w:tr w:rsidR="00074668" w14:paraId="08BECCEA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2B66" w14:textId="18D07663" w:rsidR="00074668" w:rsidRDefault="000746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Sustainable Shrivenham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DF6A" w14:textId="4DAD16FE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 xml:space="preserve">Establishment of a community hub in the High Street, focused on sustainability. </w:t>
            </w:r>
            <w:r>
              <w:rPr>
                <w:rFonts w:ascii="Arial" w:hAnsi="Arial" w:cs="Arial"/>
                <w:sz w:val="24"/>
                <w:szCs w:val="24"/>
              </w:rPr>
              <w:t xml:space="preserve">Funding for a 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hub manager on a </w:t>
            </w:r>
            <w:proofErr w:type="gramStart"/>
            <w:r w:rsidRPr="00411B30">
              <w:rPr>
                <w:rFonts w:ascii="Arial" w:hAnsi="Arial" w:cs="Arial"/>
                <w:sz w:val="24"/>
                <w:szCs w:val="24"/>
              </w:rPr>
              <w:t>six month</w:t>
            </w:r>
            <w:proofErr w:type="gramEnd"/>
            <w:r w:rsidRPr="00411B30">
              <w:rPr>
                <w:rFonts w:ascii="Arial" w:hAnsi="Arial" w:cs="Arial"/>
                <w:sz w:val="24"/>
                <w:szCs w:val="24"/>
              </w:rPr>
              <w:t xml:space="preserve"> contract to establish the hub and lay foundations for its success</w:t>
            </w:r>
          </w:p>
        </w:tc>
      </w:tr>
      <w:tr w:rsidR="00074668" w14:paraId="22639B39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5CF6" w14:textId="6FA7515B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 xml:space="preserve">Marcham with </w:t>
            </w:r>
            <w:proofErr w:type="spellStart"/>
            <w:r w:rsidRPr="00411B30">
              <w:rPr>
                <w:rFonts w:ascii="Arial" w:hAnsi="Arial" w:cs="Arial"/>
                <w:sz w:val="24"/>
                <w:szCs w:val="24"/>
              </w:rPr>
              <w:t>Garford</w:t>
            </w:r>
            <w:proofErr w:type="spellEnd"/>
            <w:r w:rsidRPr="00411B30">
              <w:rPr>
                <w:rFonts w:ascii="Arial" w:hAnsi="Arial" w:cs="Arial"/>
                <w:sz w:val="24"/>
                <w:szCs w:val="24"/>
              </w:rPr>
              <w:t xml:space="preserve"> PCC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1B30">
              <w:rPr>
                <w:rFonts w:ascii="Arial" w:hAnsi="Arial" w:cs="Arial"/>
                <w:sz w:val="20"/>
                <w:szCs w:val="20"/>
              </w:rPr>
              <w:t>(Parochial Church Council)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350A" w14:textId="4691E46C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411B30">
              <w:rPr>
                <w:rFonts w:ascii="Arial" w:hAnsi="Arial" w:cs="Arial"/>
                <w:sz w:val="24"/>
                <w:szCs w:val="24"/>
              </w:rPr>
              <w:t>eveloping the Churchyard area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11B30">
              <w:rPr>
                <w:rFonts w:ascii="Arial" w:hAnsi="Arial" w:cs="Arial"/>
                <w:sz w:val="24"/>
                <w:szCs w:val="24"/>
              </w:rPr>
              <w:t>subject to an Environmental Management Plan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11B30">
              <w:rPr>
                <w:rFonts w:ascii="Arial" w:hAnsi="Arial" w:cs="Arial"/>
                <w:sz w:val="24"/>
                <w:szCs w:val="24"/>
              </w:rPr>
              <w:t>as a demonstration and teaching resource, modelling both care of creation and sustainability</w:t>
            </w:r>
          </w:p>
        </w:tc>
      </w:tr>
      <w:tr w:rsidR="00074668" w14:paraId="6CB4842C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4DC9" w14:textId="749D7D0F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>Friends of Abingdon Buildings Trust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E9FD" w14:textId="76B26C1F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Plot to Plate festival - </w:t>
            </w:r>
            <w:r w:rsidRPr="00411B30">
              <w:rPr>
                <w:rFonts w:ascii="Arial" w:hAnsi="Arial" w:cs="Arial"/>
                <w:sz w:val="24"/>
                <w:szCs w:val="24"/>
              </w:rPr>
              <w:t>a one day festival aim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 to engage people with greener, more </w:t>
            </w:r>
            <w:proofErr w:type="gramStart"/>
            <w:r w:rsidRPr="00411B30">
              <w:rPr>
                <w:rFonts w:ascii="Arial" w:hAnsi="Arial" w:cs="Arial"/>
                <w:sz w:val="24"/>
                <w:szCs w:val="24"/>
              </w:rPr>
              <w:t>conscious</w:t>
            </w:r>
            <w:proofErr w:type="gramEnd"/>
            <w:r w:rsidRPr="00411B30">
              <w:rPr>
                <w:rFonts w:ascii="Arial" w:hAnsi="Arial" w:cs="Arial"/>
                <w:sz w:val="24"/>
                <w:szCs w:val="24"/>
              </w:rPr>
              <w:t xml:space="preserve"> and healthier lifestyle choices</w:t>
            </w:r>
            <w:r>
              <w:rPr>
                <w:rFonts w:ascii="Arial" w:hAnsi="Arial" w:cs="Arial"/>
                <w:sz w:val="24"/>
                <w:szCs w:val="24"/>
              </w:rPr>
              <w:t xml:space="preserve">, focussed on food </w:t>
            </w:r>
          </w:p>
        </w:tc>
      </w:tr>
      <w:tr w:rsidR="00074668" w14:paraId="7BEEBE15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CF8D" w14:textId="548EA026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>The Buck Project Limited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B698" w14:textId="674C1BAB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11B30">
              <w:rPr>
                <w:rFonts w:ascii="Arial" w:hAnsi="Arial" w:cs="Arial"/>
                <w:sz w:val="24"/>
                <w:szCs w:val="24"/>
              </w:rPr>
              <w:t>pilot project working with people who are unemployed with financial challenges</w:t>
            </w:r>
            <w:r>
              <w:rPr>
                <w:rFonts w:ascii="Arial" w:hAnsi="Arial" w:cs="Arial"/>
                <w:sz w:val="24"/>
                <w:szCs w:val="24"/>
              </w:rPr>
              <w:t xml:space="preserve">, with the aim of </w:t>
            </w:r>
            <w:r w:rsidRPr="00411B30">
              <w:rPr>
                <w:rFonts w:ascii="Arial" w:hAnsi="Arial" w:cs="Arial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 more active, find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 ways to reduce waste and sav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 energy</w:t>
            </w:r>
          </w:p>
        </w:tc>
      </w:tr>
      <w:tr w:rsidR="00074668" w14:paraId="4698CD0A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4226" w14:textId="0366EADC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>Stanford in the Vale Parish Council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7C21" w14:textId="39A65E28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ejuvenation of a community garden, transforming it into an area that promotes ecological restoration, allowing people to spend time in nature and appreciate the benefits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natural world </w:t>
            </w:r>
          </w:p>
        </w:tc>
      </w:tr>
      <w:tr w:rsidR="00074668" w14:paraId="32343BA2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F612" w14:textId="2C53ECE7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 xml:space="preserve">Greener Great </w:t>
            </w:r>
            <w:proofErr w:type="spellStart"/>
            <w:r w:rsidRPr="00411B30">
              <w:rPr>
                <w:rFonts w:ascii="Arial" w:hAnsi="Arial" w:cs="Arial"/>
                <w:sz w:val="24"/>
                <w:szCs w:val="24"/>
              </w:rPr>
              <w:t>Coxwell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8983" w14:textId="50CBEB22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 community energy project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Pr="00411B30">
              <w:rPr>
                <w:rFonts w:ascii="Arial" w:hAnsi="Arial" w:cs="Arial"/>
                <w:sz w:val="24"/>
                <w:szCs w:val="24"/>
              </w:rPr>
              <w:t>fund</w:t>
            </w:r>
            <w:r>
              <w:rPr>
                <w:rFonts w:ascii="Arial" w:hAnsi="Arial" w:cs="Arial"/>
                <w:sz w:val="24"/>
                <w:szCs w:val="24"/>
              </w:rPr>
              <w:t xml:space="preserve">ing </w:t>
            </w:r>
            <w:r w:rsidRPr="00411B30">
              <w:rPr>
                <w:rFonts w:ascii="Arial" w:hAnsi="Arial" w:cs="Arial"/>
                <w:sz w:val="24"/>
                <w:szCs w:val="24"/>
              </w:rPr>
              <w:t xml:space="preserve">for an infra-red camera, outreach materials, events </w:t>
            </w:r>
            <w:proofErr w:type="gramStart"/>
            <w:r w:rsidRPr="00411B30">
              <w:rPr>
                <w:rFonts w:ascii="Arial" w:hAnsi="Arial" w:cs="Arial"/>
                <w:sz w:val="24"/>
                <w:szCs w:val="24"/>
              </w:rPr>
              <w:t>support</w:t>
            </w:r>
            <w:proofErr w:type="gramEnd"/>
            <w:r w:rsidRPr="00411B30">
              <w:rPr>
                <w:rFonts w:ascii="Arial" w:hAnsi="Arial" w:cs="Arial"/>
                <w:sz w:val="24"/>
                <w:szCs w:val="24"/>
              </w:rPr>
              <w:t xml:space="preserve"> and training to help community understanding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of how and why to save energy</w:t>
            </w:r>
          </w:p>
        </w:tc>
      </w:tr>
      <w:tr w:rsidR="00074668" w14:paraId="0F7352E4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E03C" w14:textId="79155ABD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>One Planet Abingdon Climate Emergency Centre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0C6" w14:textId="4F3719B5" w:rsidR="00074668" w:rsidRDefault="00C929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 projects – 1. F</w:t>
            </w:r>
            <w:r w:rsidRPr="00C92999">
              <w:rPr>
                <w:rFonts w:ascii="Arial" w:hAnsi="Arial" w:cs="Arial"/>
                <w:sz w:val="24"/>
                <w:szCs w:val="24"/>
              </w:rPr>
              <w:t>ree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92999">
              <w:rPr>
                <w:rFonts w:ascii="Arial" w:hAnsi="Arial" w:cs="Arial"/>
                <w:sz w:val="24"/>
                <w:szCs w:val="24"/>
              </w:rPr>
              <w:t xml:space="preserve"> public knowledge sharing events, featuring a moderated talk by an expert speaker</w:t>
            </w:r>
            <w:r>
              <w:rPr>
                <w:rFonts w:ascii="Arial" w:hAnsi="Arial" w:cs="Arial"/>
                <w:sz w:val="24"/>
                <w:szCs w:val="24"/>
              </w:rPr>
              <w:t xml:space="preserve">. 2. Working with young people, through </w:t>
            </w:r>
            <w:r w:rsidRPr="00C92999">
              <w:rPr>
                <w:rFonts w:ascii="Arial" w:hAnsi="Arial" w:cs="Arial"/>
                <w:sz w:val="24"/>
                <w:szCs w:val="24"/>
              </w:rPr>
              <w:t>a series of facilitated workshops and activities aimed at empowering and supporting them as change agents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4668" w14:paraId="3848A68B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A91A" w14:textId="248C3823" w:rsidR="00074668" w:rsidRDefault="00411B30">
            <w:pPr>
              <w:rPr>
                <w:rFonts w:ascii="Arial" w:hAnsi="Arial" w:cs="Arial"/>
                <w:sz w:val="24"/>
                <w:szCs w:val="24"/>
              </w:rPr>
            </w:pPr>
            <w:r w:rsidRPr="00411B30">
              <w:rPr>
                <w:rFonts w:ascii="Arial" w:hAnsi="Arial" w:cs="Arial"/>
                <w:sz w:val="24"/>
                <w:szCs w:val="24"/>
              </w:rPr>
              <w:t>Cumnor Conservation Group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D5A" w14:textId="26D1822B" w:rsidR="00074668" w:rsidRDefault="00C929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92999">
              <w:rPr>
                <w:rFonts w:ascii="Arial" w:hAnsi="Arial" w:cs="Arial"/>
                <w:sz w:val="24"/>
                <w:szCs w:val="24"/>
              </w:rPr>
              <w:t>elivery of a habitat survey and resultant management plan, to support and understand the site, as well as increase local knowledge concerning the site, ecological methods in general and form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C92999">
              <w:rPr>
                <w:rFonts w:ascii="Arial" w:hAnsi="Arial" w:cs="Arial"/>
                <w:sz w:val="24"/>
                <w:szCs w:val="24"/>
              </w:rPr>
              <w:t xml:space="preserve"> the basis of a public education drive</w:t>
            </w:r>
          </w:p>
        </w:tc>
      </w:tr>
      <w:tr w:rsidR="00074668" w14:paraId="01BDB611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E190" w14:textId="6E8E3ED4" w:rsidR="00074668" w:rsidRDefault="00C92999">
            <w:pPr>
              <w:rPr>
                <w:rFonts w:ascii="Arial" w:hAnsi="Arial" w:cs="Arial"/>
                <w:sz w:val="24"/>
                <w:szCs w:val="24"/>
              </w:rPr>
            </w:pPr>
            <w:r w:rsidRPr="00C92999">
              <w:rPr>
                <w:rFonts w:ascii="Arial" w:hAnsi="Arial" w:cs="Arial"/>
                <w:sz w:val="24"/>
                <w:szCs w:val="24"/>
              </w:rPr>
              <w:lastRenderedPageBreak/>
              <w:t>Hinksey Trail Regeneration CIC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C844" w14:textId="70C70925" w:rsidR="00074668" w:rsidRDefault="00C929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C92999">
              <w:rPr>
                <w:rFonts w:ascii="Arial" w:hAnsi="Arial" w:cs="Arial"/>
                <w:sz w:val="24"/>
                <w:szCs w:val="24"/>
              </w:rPr>
              <w:t xml:space="preserve">uilding a new 30m section of boardwalk, in sustainable recycled plastic </w:t>
            </w:r>
            <w:proofErr w:type="gramStart"/>
            <w:r w:rsidRPr="00C92999">
              <w:rPr>
                <w:rFonts w:ascii="Arial" w:hAnsi="Arial" w:cs="Arial"/>
                <w:sz w:val="24"/>
                <w:szCs w:val="24"/>
              </w:rPr>
              <w:t>lumber ,next</w:t>
            </w:r>
            <w:proofErr w:type="gramEnd"/>
            <w:r w:rsidRPr="00C92999">
              <w:rPr>
                <w:rFonts w:ascii="Arial" w:hAnsi="Arial" w:cs="Arial"/>
                <w:sz w:val="24"/>
                <w:szCs w:val="24"/>
              </w:rPr>
              <w:t xml:space="preserve"> to a small lake that is a popular place for visitors to stop and watch wildlife</w:t>
            </w:r>
          </w:p>
        </w:tc>
      </w:tr>
      <w:tr w:rsidR="00074668" w14:paraId="38E301F8" w14:textId="77777777" w:rsidTr="005C1CD7">
        <w:tc>
          <w:tcPr>
            <w:tcW w:w="2542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CBDF" w14:textId="4DC74E48" w:rsidR="00074668" w:rsidRDefault="00C92999">
            <w:pPr>
              <w:rPr>
                <w:rFonts w:ascii="Arial" w:hAnsi="Arial" w:cs="Arial"/>
                <w:sz w:val="24"/>
                <w:szCs w:val="24"/>
              </w:rPr>
            </w:pPr>
            <w:r w:rsidRPr="00C92999">
              <w:rPr>
                <w:rFonts w:ascii="Arial" w:hAnsi="Arial" w:cs="Arial"/>
                <w:sz w:val="24"/>
                <w:szCs w:val="24"/>
              </w:rPr>
              <w:t>The Radley Lakes Trust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20D9" w14:textId="16A9B6FA" w:rsidR="00074668" w:rsidRDefault="00C929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planting - </w:t>
            </w:r>
            <w:r w:rsidRPr="00C92999">
              <w:rPr>
                <w:rFonts w:ascii="Arial" w:hAnsi="Arial" w:cs="Arial"/>
                <w:sz w:val="24"/>
                <w:szCs w:val="24"/>
              </w:rPr>
              <w:t xml:space="preserve">creating two biodiverse and attractive areas of native species plantings, close to </w:t>
            </w:r>
            <w:proofErr w:type="spellStart"/>
            <w:r w:rsidRPr="00C92999">
              <w:rPr>
                <w:rFonts w:ascii="Arial" w:hAnsi="Arial" w:cs="Arial"/>
                <w:sz w:val="24"/>
                <w:szCs w:val="24"/>
              </w:rPr>
              <w:t>Thrupp</w:t>
            </w:r>
            <w:proofErr w:type="spellEnd"/>
            <w:r w:rsidRPr="00C92999">
              <w:rPr>
                <w:rFonts w:ascii="Arial" w:hAnsi="Arial" w:cs="Arial"/>
                <w:sz w:val="24"/>
                <w:szCs w:val="24"/>
              </w:rPr>
              <w:t xml:space="preserve"> Lake </w:t>
            </w:r>
          </w:p>
        </w:tc>
      </w:tr>
    </w:tbl>
    <w:p w14:paraId="1F6AB3BC" w14:textId="77777777" w:rsidR="00292F57" w:rsidRDefault="00292F57" w:rsidP="00292F57">
      <w:pPr>
        <w:rPr>
          <w:rFonts w:ascii="Arial" w:hAnsi="Arial" w:cs="Arial"/>
          <w:sz w:val="24"/>
          <w:szCs w:val="24"/>
        </w:rPr>
      </w:pPr>
    </w:p>
    <w:p w14:paraId="5B7DFC93" w14:textId="153EABD3" w:rsidR="00292F57" w:rsidRDefault="005C1CD7" w:rsidP="00292F57">
      <w:r>
        <w:rPr>
          <w:noProof/>
        </w:rPr>
        <w:drawing>
          <wp:anchor distT="0" distB="0" distL="114300" distR="114300" simplePos="0" relativeHeight="251658240" behindDoc="0" locked="0" layoutInCell="1" allowOverlap="1" wp14:anchorId="0A00E6BB" wp14:editId="18153648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2818765" cy="2114550"/>
            <wp:effectExtent l="0" t="0" r="635" b="0"/>
            <wp:wrapNone/>
            <wp:docPr id="2" name="Picture 2" descr="A group of people working in a gard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working in a garde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8032C" w14:textId="49E427CB" w:rsidR="00C47E87" w:rsidRDefault="005C1C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97A5E9" wp14:editId="50D76293">
                <wp:simplePos x="0" y="0"/>
                <wp:positionH relativeFrom="margin">
                  <wp:align>left</wp:align>
                </wp:positionH>
                <wp:positionV relativeFrom="paragraph">
                  <wp:posOffset>2168525</wp:posOffset>
                </wp:positionV>
                <wp:extent cx="278384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D1E58" w14:textId="02315170" w:rsidR="005C1CD7" w:rsidRPr="005C1CD7" w:rsidRDefault="005C1CD7" w:rsidP="005C1C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C1CD7">
                              <w:rPr>
                                <w:rFonts w:ascii="Arial" w:hAnsi="Arial" w:cs="Arial"/>
                              </w:rPr>
                              <w:t>Wantage Draught Busters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7A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0.75pt;width:219.2pt;height:20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wIDAIAAPY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" stroked="f">
                <v:textbox>
                  <w:txbxContent>
                    <w:p w14:paraId="618D1E58" w14:textId="02315170" w:rsidR="005C1CD7" w:rsidRPr="005C1CD7" w:rsidRDefault="005C1CD7" w:rsidP="005C1C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C1CD7">
                        <w:rPr>
                          <w:rFonts w:ascii="Arial" w:hAnsi="Arial" w:cs="Arial"/>
                        </w:rPr>
                        <w:t>Wantage Draught Busters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B31B3F" wp14:editId="772F2B1A">
                <wp:simplePos x="0" y="0"/>
                <wp:positionH relativeFrom="margin">
                  <wp:align>right</wp:align>
                </wp:positionH>
                <wp:positionV relativeFrom="paragraph">
                  <wp:posOffset>2160270</wp:posOffset>
                </wp:positionV>
                <wp:extent cx="2783840" cy="2571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2D8B" w14:textId="13D866D6" w:rsidR="005C1CD7" w:rsidRPr="005C1CD7" w:rsidRDefault="005C1CD7" w:rsidP="005C1C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C1CD7">
                              <w:rPr>
                                <w:rFonts w:ascii="Arial" w:hAnsi="Arial" w:cs="Arial"/>
                              </w:rPr>
                              <w:t>The Radley Lakes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1B3F" id="_x0000_s1027" type="#_x0000_t202" style="position:absolute;margin-left:168pt;margin-top:170.1pt;width:219.2pt;height:20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" stroked="f">
                <v:textbox>
                  <w:txbxContent>
                    <w:p w14:paraId="6B3D2D8B" w14:textId="13D866D6" w:rsidR="005C1CD7" w:rsidRPr="005C1CD7" w:rsidRDefault="005C1CD7" w:rsidP="005C1C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C1CD7">
                        <w:rPr>
                          <w:rFonts w:ascii="Arial" w:hAnsi="Arial" w:cs="Arial"/>
                        </w:rPr>
                        <w:t>The Radley Lakes Trust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1BFDD3" wp14:editId="1453858E">
            <wp:extent cx="2793794" cy="2095500"/>
            <wp:effectExtent l="0" t="0" r="6985" b="0"/>
            <wp:docPr id="1" name="Picture 1" descr="A person carrying out draught improvement measures to a window, with a cat looking in 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carrying out draught improvement measures to a window, with a cat looking in 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541" cy="211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57"/>
    <w:rsid w:val="00074668"/>
    <w:rsid w:val="00292F57"/>
    <w:rsid w:val="00411B30"/>
    <w:rsid w:val="005C1CD7"/>
    <w:rsid w:val="00BA5320"/>
    <w:rsid w:val="00C47E87"/>
    <w:rsid w:val="00C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37F0"/>
  <w15:chartTrackingRefBased/>
  <w15:docId w15:val="{973C66FF-8CFE-427C-97BD-5F72EFFE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1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CD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CD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5E82-9CCF-440E-82B6-9D3C783F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Billen, Lucy</dc:creator>
  <cp:keywords/>
  <dc:description/>
  <cp:lastModifiedBy>Bunting, Chloe</cp:lastModifiedBy>
  <cp:revision>3</cp:revision>
  <dcterms:created xsi:type="dcterms:W3CDTF">2023-05-11T10:36:00Z</dcterms:created>
  <dcterms:modified xsi:type="dcterms:W3CDTF">2023-05-11T10:44:00Z</dcterms:modified>
</cp:coreProperties>
</file>