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763" w14:textId="4C003549" w:rsidR="00904329" w:rsidRDefault="005702FD" w:rsidP="005702FD">
      <w:pPr>
        <w:jc w:val="center"/>
      </w:pPr>
      <w:r>
        <w:rPr>
          <w:noProof/>
        </w:rPr>
        <w:drawing>
          <wp:inline distT="0" distB="0" distL="0" distR="0" wp14:anchorId="4DEDD4B8" wp14:editId="5D13646B">
            <wp:extent cx="581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798" cy="954189"/>
                    </a:xfrm>
                    <a:prstGeom prst="rect">
                      <a:avLst/>
                    </a:prstGeom>
                  </pic:spPr>
                </pic:pic>
              </a:graphicData>
            </a:graphic>
          </wp:inline>
        </w:drawing>
      </w:r>
    </w:p>
    <w:p w14:paraId="3F09183F" w14:textId="5AF403D9" w:rsidR="005702FD" w:rsidRDefault="005702FD" w:rsidP="005702FD">
      <w:pPr>
        <w:jc w:val="center"/>
      </w:pPr>
    </w:p>
    <w:p w14:paraId="5E44894D" w14:textId="06543747" w:rsidR="005702FD" w:rsidRDefault="005702FD" w:rsidP="005702FD">
      <w:pPr>
        <w:jc w:val="center"/>
      </w:pPr>
    </w:p>
    <w:p w14:paraId="67D94C46" w14:textId="164FFD16" w:rsidR="005702FD" w:rsidRDefault="005702FD" w:rsidP="005702FD">
      <w:pPr>
        <w:jc w:val="center"/>
      </w:pPr>
    </w:p>
    <w:p w14:paraId="15ACFECD" w14:textId="28B7AEBA" w:rsidR="005702FD" w:rsidRDefault="005702FD" w:rsidP="005702FD">
      <w:pPr>
        <w:jc w:val="center"/>
      </w:pPr>
    </w:p>
    <w:tbl>
      <w:tblPr>
        <w:tblW w:w="9356" w:type="dxa"/>
        <w:tblLayout w:type="fixed"/>
        <w:tblLook w:val="0000" w:firstRow="0" w:lastRow="0" w:firstColumn="0" w:lastColumn="0" w:noHBand="0" w:noVBand="0"/>
      </w:tblPr>
      <w:tblGrid>
        <w:gridCol w:w="7088"/>
        <w:gridCol w:w="2268"/>
      </w:tblGrid>
      <w:tr w:rsidR="005702FD" w:rsidRPr="005702FD" w14:paraId="543DB0CF" w14:textId="77777777" w:rsidTr="003645DF">
        <w:tc>
          <w:tcPr>
            <w:tcW w:w="7088" w:type="dxa"/>
          </w:tcPr>
          <w:p w14:paraId="1D240D54" w14:textId="77777777" w:rsidR="005702FD" w:rsidRDefault="005702FD" w:rsidP="005702FD">
            <w:pPr>
              <w:spacing w:after="360" w:line="240" w:lineRule="auto"/>
              <w:ind w:right="48"/>
              <w:rPr>
                <w:rFonts w:ascii="Arial Black" w:eastAsia="Times New Roman" w:hAnsi="Arial Black" w:cs="Arial"/>
                <w:noProof/>
                <w:sz w:val="42"/>
                <w:szCs w:val="24"/>
              </w:rPr>
            </w:pPr>
          </w:p>
          <w:p w14:paraId="3AF7DBB4" w14:textId="22E8D13A" w:rsidR="005702FD" w:rsidRDefault="005452E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Anti Social Behaviour</w:t>
            </w:r>
          </w:p>
          <w:p w14:paraId="31040BAA" w14:textId="5349F09B" w:rsidR="005702FD" w:rsidRPr="005702FD" w:rsidRDefault="005702F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Policy</w:t>
            </w:r>
          </w:p>
        </w:tc>
        <w:tc>
          <w:tcPr>
            <w:tcW w:w="2268" w:type="dxa"/>
          </w:tcPr>
          <w:p w14:paraId="03404903" w14:textId="77777777" w:rsidR="005702FD" w:rsidRPr="005702FD" w:rsidRDefault="005702FD" w:rsidP="005702FD">
            <w:pPr>
              <w:spacing w:after="0" w:line="240" w:lineRule="auto"/>
              <w:ind w:right="48"/>
              <w:rPr>
                <w:rFonts w:ascii="Arial" w:eastAsia="Times New Roman" w:hAnsi="Arial" w:cs="Arial"/>
                <w:sz w:val="24"/>
                <w:szCs w:val="24"/>
              </w:rPr>
            </w:pPr>
          </w:p>
        </w:tc>
      </w:tr>
      <w:tr w:rsidR="005702FD" w:rsidRPr="005702FD" w14:paraId="483E43EC" w14:textId="77777777" w:rsidTr="003645DF">
        <w:tc>
          <w:tcPr>
            <w:tcW w:w="7088" w:type="dxa"/>
          </w:tcPr>
          <w:p w14:paraId="5DB4E24C" w14:textId="77777777" w:rsidR="005702FD" w:rsidRPr="005702FD" w:rsidRDefault="005702FD" w:rsidP="005702FD">
            <w:pPr>
              <w:spacing w:after="360" w:line="240" w:lineRule="auto"/>
              <w:ind w:right="48"/>
              <w:jc w:val="right"/>
              <w:rPr>
                <w:rFonts w:ascii="Arial Narrow" w:eastAsia="Times New Roman" w:hAnsi="Arial Narrow" w:cs="Arial"/>
                <w:b/>
                <w:caps/>
                <w:sz w:val="32"/>
                <w:szCs w:val="24"/>
              </w:rPr>
            </w:pPr>
          </w:p>
        </w:tc>
        <w:tc>
          <w:tcPr>
            <w:tcW w:w="2268" w:type="dxa"/>
          </w:tcPr>
          <w:p w14:paraId="7F5A5A11" w14:textId="77777777" w:rsidR="005702FD" w:rsidRPr="005702FD" w:rsidRDefault="005702FD" w:rsidP="005702FD">
            <w:pPr>
              <w:spacing w:after="0" w:line="240" w:lineRule="auto"/>
              <w:ind w:right="48"/>
              <w:rPr>
                <w:rFonts w:ascii="Arial" w:eastAsia="Times New Roman" w:hAnsi="Arial" w:cs="Arial"/>
                <w:sz w:val="24"/>
                <w:szCs w:val="24"/>
              </w:rPr>
            </w:pPr>
          </w:p>
        </w:tc>
      </w:tr>
    </w:tbl>
    <w:p w14:paraId="17C0976B" w14:textId="77777777" w:rsidR="005702FD" w:rsidRPr="005702FD" w:rsidRDefault="005702FD" w:rsidP="005702FD">
      <w:pPr>
        <w:spacing w:after="0" w:line="240" w:lineRule="auto"/>
        <w:ind w:right="48"/>
        <w:rPr>
          <w:rFonts w:ascii="Arial" w:eastAsia="Times New Roman" w:hAnsi="Arial" w:cs="Arial"/>
          <w:sz w:val="24"/>
          <w:szCs w:val="24"/>
        </w:rPr>
      </w:pPr>
    </w:p>
    <w:p w14:paraId="527D9FD0" w14:textId="77777777" w:rsidR="005702FD" w:rsidRPr="005702FD" w:rsidRDefault="005702FD" w:rsidP="005702FD">
      <w:pPr>
        <w:spacing w:after="0" w:line="240" w:lineRule="auto"/>
        <w:ind w:right="48"/>
        <w:rPr>
          <w:rFonts w:ascii="Arial" w:eastAsia="Times New Roman" w:hAnsi="Arial" w:cs="Arial"/>
          <w:b/>
          <w:sz w:val="24"/>
          <w:szCs w:val="24"/>
        </w:rPr>
      </w:pPr>
    </w:p>
    <w:p w14:paraId="1419C2F0" w14:textId="77777777" w:rsidR="005702FD" w:rsidRDefault="005702FD" w:rsidP="005702FD">
      <w:pPr>
        <w:tabs>
          <w:tab w:val="right" w:pos="6804"/>
        </w:tabs>
        <w:spacing w:after="0" w:line="240" w:lineRule="auto"/>
        <w:ind w:right="48"/>
        <w:rPr>
          <w:rFonts w:ascii="Arial" w:eastAsia="Times New Roman" w:hAnsi="Arial" w:cs="Arial"/>
          <w:b/>
          <w:sz w:val="24"/>
          <w:szCs w:val="24"/>
        </w:rPr>
      </w:pPr>
      <w:r w:rsidRPr="005702FD">
        <w:rPr>
          <w:rFonts w:ascii="Arial" w:eastAsia="Times New Roman" w:hAnsi="Arial" w:cs="Arial"/>
          <w:b/>
          <w:sz w:val="24"/>
          <w:szCs w:val="24"/>
        </w:rPr>
        <w:tab/>
      </w:r>
    </w:p>
    <w:p w14:paraId="42FE7757"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A11E1C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43C362"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F770B83"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6E4C70F"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281646"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264CBD1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727981D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60E42ECA"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C55136C"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5466915"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2C1AD5D"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D960B4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35A5959"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868D464" w14:textId="503B7091" w:rsidR="005702FD" w:rsidRPr="005702FD" w:rsidRDefault="005702FD" w:rsidP="005702FD">
      <w:pPr>
        <w:tabs>
          <w:tab w:val="right" w:pos="6804"/>
        </w:tabs>
        <w:spacing w:after="0" w:line="240" w:lineRule="auto"/>
        <w:ind w:right="48"/>
        <w:rPr>
          <w:rFonts w:ascii="Arial" w:eastAsia="Times New Roman" w:hAnsi="Arial" w:cs="Arial"/>
          <w:b/>
          <w:bCs/>
          <w:sz w:val="24"/>
          <w:szCs w:val="24"/>
        </w:rPr>
      </w:pPr>
      <w:r w:rsidRPr="005702FD">
        <w:rPr>
          <w:rFonts w:ascii="Arial" w:eastAsia="Times New Roman" w:hAnsi="Arial" w:cs="Arial"/>
          <w:b/>
          <w:sz w:val="24"/>
          <w:szCs w:val="24"/>
        </w:rPr>
        <w:t xml:space="preserve">Last updated: </w:t>
      </w:r>
      <w:r>
        <w:rPr>
          <w:rFonts w:ascii="Arial" w:eastAsia="Times New Roman" w:hAnsi="Arial" w:cs="Arial"/>
          <w:b/>
          <w:sz w:val="24"/>
          <w:szCs w:val="24"/>
        </w:rPr>
        <w:t xml:space="preserve">October 2023 </w:t>
      </w:r>
    </w:p>
    <w:p w14:paraId="29C9B7CC" w14:textId="7F967263" w:rsidR="005702FD" w:rsidRDefault="005702FD">
      <w:r>
        <w:br w:type="page"/>
      </w:r>
    </w:p>
    <w:p w14:paraId="49AF3AD9" w14:textId="62716C79" w:rsidR="005702FD" w:rsidRDefault="005702FD" w:rsidP="005702FD"/>
    <w:p w14:paraId="35E299FE" w14:textId="77777777" w:rsidR="005702FD" w:rsidRPr="005702FD" w:rsidRDefault="005702FD" w:rsidP="005702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0"/>
        </w:tabs>
        <w:spacing w:after="240" w:line="240" w:lineRule="auto"/>
        <w:jc w:val="both"/>
        <w:outlineLvl w:val="1"/>
        <w:rPr>
          <w:rFonts w:ascii="Arial Black" w:eastAsia="Times New Roman" w:hAnsi="Arial Black" w:cs="Arial"/>
          <w:noProof/>
          <w:sz w:val="42"/>
          <w:szCs w:val="24"/>
        </w:rPr>
      </w:pPr>
      <w:r w:rsidRPr="005702FD">
        <w:rPr>
          <w:rFonts w:ascii="Arial Narrow" w:eastAsia="Times New Roman" w:hAnsi="Arial Narrow" w:cs="Arial"/>
          <w:b/>
          <w:caps/>
          <w:sz w:val="32"/>
          <w:szCs w:val="24"/>
        </w:rPr>
        <w:t>Contents</w:t>
      </w:r>
      <w:r w:rsidRPr="005702FD">
        <w:rPr>
          <w:rFonts w:ascii="Arial Narrow" w:eastAsia="Times New Roman" w:hAnsi="Arial Narrow" w:cs="Arial"/>
          <w:b/>
          <w:caps/>
          <w:sz w:val="32"/>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t xml:space="preserve">    </w:t>
      </w:r>
      <w:r w:rsidRPr="005702FD">
        <w:rPr>
          <w:rFonts w:ascii="Arial Narrow" w:eastAsia="Times New Roman" w:hAnsi="Arial Narrow" w:cs="Arial"/>
          <w:b/>
          <w:caps/>
          <w:sz w:val="32"/>
          <w:szCs w:val="24"/>
        </w:rPr>
        <w:tab/>
      </w:r>
      <w:r w:rsidRPr="005702FD">
        <w:rPr>
          <w:rFonts w:ascii="Arial Narrow" w:eastAsia="Times New Roman" w:hAnsi="Arial Narrow" w:cs="Arial"/>
          <w:b/>
          <w:caps/>
          <w:sz w:val="32"/>
          <w:szCs w:val="24"/>
        </w:rPr>
        <w:tab/>
        <w:t>Page</w:t>
      </w:r>
    </w:p>
    <w:p w14:paraId="513A6A22" w14:textId="0A8F290E" w:rsidR="005702FD" w:rsidRDefault="004A7E73" w:rsidP="005702FD">
      <w:pPr>
        <w:tabs>
          <w:tab w:val="left" w:pos="8205"/>
        </w:tabs>
        <w:spacing w:after="0" w:line="240" w:lineRule="auto"/>
        <w:jc w:val="both"/>
        <w:rPr>
          <w:rFonts w:ascii="Arial" w:eastAsia="Times New Roman" w:hAnsi="Arial" w:cs="Arial"/>
          <w:bCs/>
          <w:sz w:val="24"/>
          <w:szCs w:val="24"/>
        </w:rPr>
      </w:pPr>
      <w:hyperlink w:anchor="policy_statement" w:history="1">
        <w:r w:rsidR="005702FD" w:rsidRPr="005702FD">
          <w:rPr>
            <w:rFonts w:ascii="Arial" w:eastAsia="Times New Roman" w:hAnsi="Arial" w:cs="Arial"/>
            <w:bCs/>
            <w:sz w:val="24"/>
            <w:szCs w:val="24"/>
          </w:rPr>
          <w:t>Policy statement</w:t>
        </w:r>
      </w:hyperlink>
      <w:r w:rsidR="005702FD" w:rsidRPr="005702FD">
        <w:rPr>
          <w:rFonts w:ascii="Arial" w:eastAsia="Times New Roman" w:hAnsi="Arial" w:cs="Arial"/>
          <w:bCs/>
          <w:sz w:val="24"/>
          <w:szCs w:val="24"/>
        </w:rPr>
        <w:tab/>
      </w:r>
      <w:r w:rsidR="005702FD" w:rsidRPr="005702FD">
        <w:rPr>
          <w:rFonts w:ascii="Arial" w:eastAsia="Times New Roman" w:hAnsi="Arial" w:cs="Arial"/>
          <w:bCs/>
          <w:sz w:val="24"/>
          <w:szCs w:val="24"/>
        </w:rPr>
        <w:tab/>
      </w:r>
      <w:r w:rsidR="00320F5B">
        <w:rPr>
          <w:rFonts w:ascii="Arial" w:eastAsia="Times New Roman" w:hAnsi="Arial" w:cs="Arial"/>
          <w:bCs/>
          <w:sz w:val="24"/>
          <w:szCs w:val="24"/>
        </w:rPr>
        <w:t>3</w:t>
      </w:r>
    </w:p>
    <w:p w14:paraId="3126B77B" w14:textId="3559C8C5" w:rsidR="00320F5B" w:rsidRDefault="00320F5B" w:rsidP="005702FD">
      <w:pPr>
        <w:tabs>
          <w:tab w:val="left" w:pos="8205"/>
        </w:tabs>
        <w:spacing w:after="0" w:line="240" w:lineRule="auto"/>
        <w:jc w:val="both"/>
        <w:rPr>
          <w:rFonts w:ascii="Arial" w:eastAsia="Times New Roman" w:hAnsi="Arial" w:cs="Arial"/>
          <w:bCs/>
          <w:sz w:val="24"/>
          <w:szCs w:val="24"/>
        </w:rPr>
      </w:pPr>
    </w:p>
    <w:p w14:paraId="0FB13594" w14:textId="369F766C" w:rsidR="00320F5B"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Aims of Policy</w:t>
      </w:r>
      <w:r>
        <w:rPr>
          <w:rFonts w:ascii="Arial" w:eastAsia="Times New Roman" w:hAnsi="Arial" w:cs="Arial"/>
          <w:bCs/>
          <w:sz w:val="24"/>
          <w:szCs w:val="24"/>
        </w:rPr>
        <w:tab/>
      </w:r>
      <w:r>
        <w:rPr>
          <w:rFonts w:ascii="Arial" w:eastAsia="Times New Roman" w:hAnsi="Arial" w:cs="Arial"/>
          <w:bCs/>
          <w:sz w:val="24"/>
          <w:szCs w:val="24"/>
        </w:rPr>
        <w:tab/>
      </w:r>
      <w:r w:rsidR="004A7E73">
        <w:rPr>
          <w:rFonts w:ascii="Arial" w:eastAsia="Times New Roman" w:hAnsi="Arial" w:cs="Arial"/>
          <w:bCs/>
          <w:sz w:val="24"/>
          <w:szCs w:val="24"/>
        </w:rPr>
        <w:t>4</w:t>
      </w:r>
    </w:p>
    <w:p w14:paraId="5077F44C" w14:textId="444B16A9" w:rsidR="00320F5B" w:rsidRPr="005702FD"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b/>
      </w:r>
    </w:p>
    <w:p w14:paraId="5493DFE5" w14:textId="5EDB91F0" w:rsidR="00320F5B" w:rsidRDefault="00482ADE"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Unwelcome </w:t>
      </w:r>
      <w:r w:rsidR="004A7E73">
        <w:rPr>
          <w:rFonts w:ascii="Arial" w:eastAsia="Times New Roman" w:hAnsi="Arial" w:cs="Arial"/>
          <w:bCs/>
          <w:sz w:val="24"/>
          <w:szCs w:val="24"/>
        </w:rPr>
        <w:t xml:space="preserve">Behaviour </w:t>
      </w:r>
      <w:r w:rsidR="004A7E73">
        <w:rPr>
          <w:rFonts w:ascii="Arial" w:eastAsia="Times New Roman" w:hAnsi="Arial" w:cs="Arial"/>
          <w:bCs/>
          <w:sz w:val="24"/>
          <w:szCs w:val="24"/>
        </w:rPr>
        <w:tab/>
      </w:r>
      <w:r w:rsidR="00320F5B">
        <w:rPr>
          <w:rFonts w:ascii="Arial" w:eastAsia="Times New Roman" w:hAnsi="Arial" w:cs="Arial"/>
          <w:bCs/>
          <w:sz w:val="24"/>
          <w:szCs w:val="24"/>
        </w:rPr>
        <w:tab/>
        <w:t>4</w:t>
      </w:r>
    </w:p>
    <w:p w14:paraId="13CB54D5" w14:textId="7A821EBB" w:rsidR="00320F5B" w:rsidRDefault="00320F5B" w:rsidP="005702FD">
      <w:pPr>
        <w:tabs>
          <w:tab w:val="decimal" w:pos="7920"/>
        </w:tabs>
        <w:spacing w:after="0" w:line="240" w:lineRule="auto"/>
        <w:jc w:val="both"/>
        <w:rPr>
          <w:rFonts w:ascii="Arial" w:eastAsia="Times New Roman" w:hAnsi="Arial" w:cs="Arial"/>
          <w:bCs/>
          <w:sz w:val="24"/>
          <w:szCs w:val="24"/>
        </w:rPr>
      </w:pPr>
    </w:p>
    <w:p w14:paraId="6CE1E457" w14:textId="780C31E1" w:rsidR="00320F5B" w:rsidRDefault="00482ADE"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Criminal Acts</w:t>
      </w:r>
      <w:r w:rsidR="00320F5B">
        <w:rPr>
          <w:rFonts w:ascii="Arial" w:eastAsia="Times New Roman" w:hAnsi="Arial" w:cs="Arial"/>
          <w:bCs/>
          <w:sz w:val="24"/>
          <w:szCs w:val="24"/>
        </w:rPr>
        <w:tab/>
      </w:r>
      <w:r w:rsidR="00320F5B">
        <w:rPr>
          <w:rFonts w:ascii="Arial" w:eastAsia="Times New Roman" w:hAnsi="Arial" w:cs="Arial"/>
          <w:bCs/>
          <w:sz w:val="24"/>
          <w:szCs w:val="24"/>
        </w:rPr>
        <w:tab/>
      </w:r>
      <w:r w:rsidR="005532EB">
        <w:rPr>
          <w:rFonts w:ascii="Arial" w:eastAsia="Times New Roman" w:hAnsi="Arial" w:cs="Arial"/>
          <w:bCs/>
          <w:sz w:val="24"/>
          <w:szCs w:val="24"/>
        </w:rPr>
        <w:t>4</w:t>
      </w:r>
    </w:p>
    <w:p w14:paraId="67ADBA56" w14:textId="0ED27260" w:rsidR="00320F5B" w:rsidRDefault="00320F5B" w:rsidP="005702FD">
      <w:pPr>
        <w:tabs>
          <w:tab w:val="decimal" w:pos="7920"/>
        </w:tabs>
        <w:spacing w:after="0" w:line="240" w:lineRule="auto"/>
        <w:jc w:val="both"/>
        <w:rPr>
          <w:rFonts w:ascii="Arial" w:eastAsia="Times New Roman" w:hAnsi="Arial" w:cs="Arial"/>
          <w:bCs/>
          <w:sz w:val="24"/>
          <w:szCs w:val="24"/>
        </w:rPr>
      </w:pPr>
    </w:p>
    <w:p w14:paraId="3A7A8D64" w14:textId="12A0E7DA" w:rsidR="00320F5B" w:rsidRDefault="00482ADE"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Implementation</w:t>
      </w:r>
      <w:r w:rsidR="00320F5B">
        <w:rPr>
          <w:rFonts w:ascii="Arial" w:eastAsia="Times New Roman" w:hAnsi="Arial" w:cs="Arial"/>
          <w:bCs/>
          <w:sz w:val="24"/>
          <w:szCs w:val="24"/>
        </w:rPr>
        <w:tab/>
      </w:r>
      <w:r w:rsidR="00320F5B">
        <w:rPr>
          <w:rFonts w:ascii="Arial" w:eastAsia="Times New Roman" w:hAnsi="Arial" w:cs="Arial"/>
          <w:bCs/>
          <w:sz w:val="24"/>
          <w:szCs w:val="24"/>
        </w:rPr>
        <w:tab/>
      </w:r>
      <w:r w:rsidR="004A7E73">
        <w:rPr>
          <w:rFonts w:ascii="Arial" w:eastAsia="Times New Roman" w:hAnsi="Arial" w:cs="Arial"/>
          <w:bCs/>
          <w:sz w:val="24"/>
          <w:szCs w:val="24"/>
        </w:rPr>
        <w:t>5</w:t>
      </w:r>
    </w:p>
    <w:p w14:paraId="4F6FEB36" w14:textId="139F65D0" w:rsidR="00482ADE" w:rsidRDefault="00482ADE" w:rsidP="005702FD">
      <w:pPr>
        <w:tabs>
          <w:tab w:val="decimal" w:pos="7920"/>
        </w:tabs>
        <w:spacing w:after="0" w:line="240" w:lineRule="auto"/>
        <w:jc w:val="both"/>
        <w:rPr>
          <w:rFonts w:ascii="Arial" w:eastAsia="Times New Roman" w:hAnsi="Arial" w:cs="Arial"/>
          <w:bCs/>
          <w:sz w:val="24"/>
          <w:szCs w:val="24"/>
        </w:rPr>
      </w:pPr>
    </w:p>
    <w:p w14:paraId="6511A551" w14:textId="50981077" w:rsidR="00482ADE" w:rsidRDefault="00482ADE"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Equality, Diversity and Inclusion</w:t>
      </w:r>
      <w:r>
        <w:rPr>
          <w:rFonts w:ascii="Arial" w:eastAsia="Times New Roman" w:hAnsi="Arial" w:cs="Arial"/>
          <w:bCs/>
          <w:sz w:val="24"/>
          <w:szCs w:val="24"/>
        </w:rPr>
        <w:tab/>
      </w:r>
      <w:r>
        <w:rPr>
          <w:rFonts w:ascii="Arial" w:eastAsia="Times New Roman" w:hAnsi="Arial" w:cs="Arial"/>
          <w:bCs/>
          <w:sz w:val="24"/>
          <w:szCs w:val="24"/>
        </w:rPr>
        <w:tab/>
        <w:t>7</w:t>
      </w:r>
    </w:p>
    <w:p w14:paraId="0909021E" w14:textId="39A2F451" w:rsidR="00320F5B" w:rsidRDefault="00320F5B" w:rsidP="005702FD">
      <w:pPr>
        <w:tabs>
          <w:tab w:val="decimal" w:pos="7920"/>
        </w:tabs>
        <w:spacing w:after="0" w:line="240" w:lineRule="auto"/>
        <w:jc w:val="both"/>
        <w:rPr>
          <w:rFonts w:ascii="Arial" w:eastAsia="Times New Roman" w:hAnsi="Arial" w:cs="Arial"/>
          <w:bCs/>
          <w:sz w:val="24"/>
          <w:szCs w:val="24"/>
        </w:rPr>
      </w:pPr>
    </w:p>
    <w:p w14:paraId="0CAD805B" w14:textId="005AB095" w:rsidR="00320F5B" w:rsidRPr="005702FD"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Monitoring and Review</w:t>
      </w:r>
      <w:r>
        <w:rPr>
          <w:rFonts w:ascii="Arial" w:eastAsia="Times New Roman" w:hAnsi="Arial" w:cs="Arial"/>
          <w:bCs/>
          <w:sz w:val="24"/>
          <w:szCs w:val="24"/>
        </w:rPr>
        <w:tab/>
      </w:r>
      <w:r>
        <w:rPr>
          <w:rFonts w:ascii="Arial" w:eastAsia="Times New Roman" w:hAnsi="Arial" w:cs="Arial"/>
          <w:bCs/>
          <w:sz w:val="24"/>
          <w:szCs w:val="24"/>
        </w:rPr>
        <w:tab/>
      </w:r>
      <w:r w:rsidR="00482ADE">
        <w:rPr>
          <w:rFonts w:ascii="Arial" w:eastAsia="Times New Roman" w:hAnsi="Arial" w:cs="Arial"/>
          <w:bCs/>
          <w:sz w:val="24"/>
          <w:szCs w:val="24"/>
        </w:rPr>
        <w:t>7</w:t>
      </w:r>
    </w:p>
    <w:p w14:paraId="25586351" w14:textId="4BA4B483" w:rsidR="005702FD" w:rsidRPr="005702FD" w:rsidRDefault="005702FD" w:rsidP="005702FD">
      <w:pPr>
        <w:tabs>
          <w:tab w:val="left" w:pos="8610"/>
          <w:tab w:val="right" w:pos="9070"/>
        </w:tabs>
        <w:spacing w:after="0" w:line="240" w:lineRule="auto"/>
        <w:jc w:val="both"/>
        <w:rPr>
          <w:rFonts w:ascii="Arial" w:eastAsia="Times New Roman" w:hAnsi="Arial" w:cs="Arial"/>
          <w:sz w:val="24"/>
          <w:szCs w:val="24"/>
        </w:rPr>
      </w:pPr>
      <w:r w:rsidRPr="005702FD">
        <w:rPr>
          <w:rFonts w:ascii="Arial" w:eastAsia="Times New Roman" w:hAnsi="Arial" w:cs="Arial"/>
          <w:b/>
          <w:bCs/>
          <w:sz w:val="24"/>
          <w:szCs w:val="24"/>
        </w:rPr>
        <w:tab/>
      </w:r>
    </w:p>
    <w:p w14:paraId="5495953E"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40A89EAC"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54592D70"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38AA709A" w14:textId="1FDBF52B" w:rsidR="005702FD" w:rsidRPr="005702FD" w:rsidRDefault="005702FD" w:rsidP="005702FD">
      <w:pPr>
        <w:tabs>
          <w:tab w:val="decimal" w:pos="7920"/>
        </w:tabs>
        <w:spacing w:after="0" w:line="240" w:lineRule="auto"/>
        <w:jc w:val="both"/>
        <w:rPr>
          <w:rFonts w:ascii="Arial" w:eastAsia="Times New Roman" w:hAnsi="Arial" w:cs="Arial"/>
          <w:sz w:val="24"/>
          <w:szCs w:val="24"/>
        </w:rPr>
      </w:pPr>
      <w:r w:rsidRPr="005702FD">
        <w:rPr>
          <w:rFonts w:ascii="Arial" w:eastAsia="Times New Roman" w:hAnsi="Arial" w:cs="Arial"/>
          <w:sz w:val="24"/>
          <w:szCs w:val="24"/>
        </w:rPr>
        <w:t>Useful Definitions:</w:t>
      </w:r>
    </w:p>
    <w:p w14:paraId="7DAE97C9" w14:textId="77777777" w:rsidR="005702FD" w:rsidRPr="005702FD" w:rsidRDefault="005702FD" w:rsidP="005702FD">
      <w:pPr>
        <w:tabs>
          <w:tab w:val="decimal" w:pos="7920"/>
        </w:tabs>
        <w:spacing w:after="0" w:line="240" w:lineRule="auto"/>
        <w:jc w:val="both"/>
        <w:rPr>
          <w:rFonts w:ascii="Arial" w:eastAsia="Times New Roman" w:hAnsi="Arial" w:cs="Arial"/>
          <w:sz w:val="24"/>
          <w:szCs w:val="24"/>
        </w:rPr>
      </w:pPr>
    </w:p>
    <w:p w14:paraId="00502998"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The Councils</w:t>
      </w:r>
      <w:r w:rsidRPr="005702FD">
        <w:rPr>
          <w:rFonts w:ascii="Arial" w:hAnsi="Arial" w:cs="Arial"/>
          <w:sz w:val="24"/>
          <w:szCs w:val="24"/>
          <w:lang w:bidi="en-GB"/>
        </w:rPr>
        <w:t xml:space="preserve"> – Refers to the South Oxfordshire District Council and Vale of White Horse District Council.</w:t>
      </w:r>
    </w:p>
    <w:p w14:paraId="1E5863BE"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Landlord</w:t>
      </w:r>
      <w:r w:rsidRPr="005702FD">
        <w:rPr>
          <w:rFonts w:ascii="Arial" w:hAnsi="Arial" w:cs="Arial"/>
          <w:sz w:val="24"/>
          <w:szCs w:val="24"/>
          <w:lang w:bidi="en-GB"/>
        </w:rPr>
        <w:t xml:space="preserve"> – This will be the named Landlord on the Tenancy Agreement and will be either South Oxfordshire District Council </w:t>
      </w:r>
      <w:r w:rsidRPr="005702FD">
        <w:rPr>
          <w:rFonts w:ascii="Arial" w:hAnsi="Arial" w:cs="Arial"/>
          <w:b/>
          <w:bCs/>
          <w:sz w:val="24"/>
          <w:szCs w:val="24"/>
          <w:lang w:bidi="en-GB"/>
        </w:rPr>
        <w:t xml:space="preserve">OR </w:t>
      </w:r>
      <w:r w:rsidRPr="005702FD">
        <w:rPr>
          <w:rFonts w:ascii="Arial" w:hAnsi="Arial" w:cs="Arial"/>
          <w:sz w:val="24"/>
          <w:szCs w:val="24"/>
          <w:lang w:bidi="en-GB"/>
        </w:rPr>
        <w:t>Vale of White Horse District Council</w:t>
      </w:r>
    </w:p>
    <w:p w14:paraId="3FF73A5B" w14:textId="2D65DFBB" w:rsidR="005702FD" w:rsidRDefault="005702FD" w:rsidP="005702FD">
      <w:pPr>
        <w:rPr>
          <w:rFonts w:ascii="Arial" w:hAnsi="Arial" w:cs="Arial"/>
          <w:sz w:val="24"/>
          <w:szCs w:val="24"/>
          <w:lang w:bidi="en-GB"/>
        </w:rPr>
      </w:pPr>
      <w:r w:rsidRPr="005702FD">
        <w:rPr>
          <w:rFonts w:ascii="Arial" w:hAnsi="Arial" w:cs="Arial"/>
          <w:b/>
          <w:bCs/>
          <w:sz w:val="24"/>
          <w:szCs w:val="24"/>
          <w:lang w:bidi="en-GB"/>
        </w:rPr>
        <w:t xml:space="preserve">The Service Provider – </w:t>
      </w:r>
      <w:r w:rsidRPr="005702FD">
        <w:rPr>
          <w:rFonts w:ascii="Arial" w:hAnsi="Arial" w:cs="Arial"/>
          <w:sz w:val="24"/>
          <w:szCs w:val="24"/>
          <w:lang w:bidi="en-GB"/>
        </w:rPr>
        <w:t>This means the appointed sub-contractor for the Councils who will implement the terms of the Policy.</w:t>
      </w:r>
      <w:r>
        <w:rPr>
          <w:rFonts w:ascii="Arial" w:hAnsi="Arial" w:cs="Arial"/>
          <w:sz w:val="24"/>
          <w:szCs w:val="24"/>
          <w:lang w:bidi="en-GB"/>
        </w:rPr>
        <w:t xml:space="preserve"> As of </w:t>
      </w:r>
      <w:r w:rsidR="004A7E73">
        <w:rPr>
          <w:rFonts w:ascii="Arial" w:hAnsi="Arial" w:cs="Arial"/>
          <w:sz w:val="24"/>
          <w:szCs w:val="24"/>
          <w:lang w:bidi="en-GB"/>
        </w:rPr>
        <w:t>30 October 2023,</w:t>
      </w:r>
      <w:r>
        <w:rPr>
          <w:rFonts w:ascii="Arial" w:hAnsi="Arial" w:cs="Arial"/>
          <w:sz w:val="24"/>
          <w:szCs w:val="24"/>
          <w:lang w:bidi="en-GB"/>
        </w:rPr>
        <w:t xml:space="preserve"> this will be Soha Housing. </w:t>
      </w:r>
    </w:p>
    <w:p w14:paraId="1482F6D2" w14:textId="12989769" w:rsidR="005702FD" w:rsidRPr="005702FD" w:rsidRDefault="005702FD" w:rsidP="005702FD">
      <w:pPr>
        <w:rPr>
          <w:rFonts w:ascii="Arial" w:hAnsi="Arial" w:cs="Arial"/>
          <w:sz w:val="24"/>
          <w:szCs w:val="24"/>
          <w:lang w:bidi="en-GB"/>
        </w:rPr>
      </w:pPr>
      <w:r>
        <w:rPr>
          <w:rFonts w:ascii="Arial" w:hAnsi="Arial" w:cs="Arial"/>
          <w:b/>
          <w:bCs/>
          <w:sz w:val="24"/>
          <w:szCs w:val="24"/>
          <w:lang w:bidi="en-GB"/>
        </w:rPr>
        <w:t xml:space="preserve">Tenant/s – </w:t>
      </w:r>
      <w:r>
        <w:rPr>
          <w:rFonts w:ascii="Arial" w:hAnsi="Arial" w:cs="Arial"/>
          <w:sz w:val="24"/>
          <w:szCs w:val="24"/>
          <w:lang w:bidi="en-GB"/>
        </w:rPr>
        <w:t xml:space="preserve">Person/s who occupy the property which is owned or leased by the Landlord. </w:t>
      </w:r>
    </w:p>
    <w:p w14:paraId="03939D77" w14:textId="77777777" w:rsidR="00320F5B" w:rsidRDefault="00320F5B" w:rsidP="005702FD">
      <w:pPr>
        <w:spacing w:after="360" w:line="240" w:lineRule="auto"/>
        <w:ind w:right="48"/>
        <w:rPr>
          <w:rFonts w:ascii="Arial Black" w:eastAsia="Times New Roman" w:hAnsi="Arial Black" w:cs="Arial"/>
          <w:noProof/>
          <w:sz w:val="42"/>
          <w:szCs w:val="24"/>
        </w:rPr>
      </w:pPr>
    </w:p>
    <w:p w14:paraId="6B751075" w14:textId="77777777" w:rsidR="00320F5B" w:rsidRDefault="00320F5B" w:rsidP="005702FD">
      <w:pPr>
        <w:spacing w:after="360" w:line="240" w:lineRule="auto"/>
        <w:ind w:right="48"/>
        <w:rPr>
          <w:rFonts w:ascii="Arial Black" w:eastAsia="Times New Roman" w:hAnsi="Arial Black" w:cs="Arial"/>
          <w:noProof/>
          <w:sz w:val="42"/>
          <w:szCs w:val="24"/>
        </w:rPr>
      </w:pPr>
    </w:p>
    <w:p w14:paraId="35A2521C" w14:textId="77777777" w:rsidR="00320F5B" w:rsidRDefault="00320F5B" w:rsidP="005702FD">
      <w:pPr>
        <w:spacing w:after="360" w:line="240" w:lineRule="auto"/>
        <w:ind w:right="48"/>
        <w:rPr>
          <w:rFonts w:ascii="Arial Black" w:eastAsia="Times New Roman" w:hAnsi="Arial Black" w:cs="Arial"/>
          <w:noProof/>
          <w:sz w:val="42"/>
          <w:szCs w:val="24"/>
        </w:rPr>
      </w:pPr>
    </w:p>
    <w:p w14:paraId="1870695C" w14:textId="77777777" w:rsidR="00320F5B" w:rsidRDefault="00320F5B" w:rsidP="005702FD">
      <w:pPr>
        <w:spacing w:after="360" w:line="240" w:lineRule="auto"/>
        <w:ind w:right="48"/>
        <w:rPr>
          <w:rFonts w:ascii="Arial Black" w:eastAsia="Times New Roman" w:hAnsi="Arial Black" w:cs="Arial"/>
          <w:noProof/>
          <w:sz w:val="42"/>
          <w:szCs w:val="24"/>
        </w:rPr>
      </w:pPr>
    </w:p>
    <w:p w14:paraId="018F74CB" w14:textId="77777777" w:rsidR="00320F5B" w:rsidRDefault="00320F5B" w:rsidP="005702FD">
      <w:pPr>
        <w:spacing w:after="360" w:line="240" w:lineRule="auto"/>
        <w:ind w:right="48"/>
        <w:rPr>
          <w:rFonts w:ascii="Arial Black" w:eastAsia="Times New Roman" w:hAnsi="Arial Black" w:cs="Arial"/>
          <w:noProof/>
          <w:sz w:val="42"/>
          <w:szCs w:val="24"/>
        </w:rPr>
      </w:pPr>
    </w:p>
    <w:p w14:paraId="2CF7A722" w14:textId="1FA5C5D3" w:rsidR="005702FD" w:rsidRPr="005702FD" w:rsidRDefault="0096491A"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Anti-Social Behaviour</w:t>
      </w:r>
      <w:r w:rsidR="00A42AA3">
        <w:rPr>
          <w:rFonts w:ascii="Arial Black" w:eastAsia="Times New Roman" w:hAnsi="Arial Black" w:cs="Arial"/>
          <w:noProof/>
          <w:sz w:val="42"/>
          <w:szCs w:val="24"/>
        </w:rPr>
        <w:t xml:space="preserve"> </w:t>
      </w:r>
      <w:r w:rsidR="005702FD" w:rsidRPr="005702FD">
        <w:rPr>
          <w:rFonts w:ascii="Arial Black" w:eastAsia="Times New Roman" w:hAnsi="Arial Black" w:cs="Arial"/>
          <w:noProof/>
          <w:sz w:val="42"/>
          <w:szCs w:val="24"/>
        </w:rPr>
        <w:t xml:space="preserve">Policy </w:t>
      </w:r>
    </w:p>
    <w:p w14:paraId="5EFEAA44" w14:textId="02454CC7" w:rsidR="005702FD" w:rsidRPr="0082106D" w:rsidRDefault="0082106D" w:rsidP="005702FD">
      <w:pPr>
        <w:spacing w:after="360" w:line="240" w:lineRule="auto"/>
        <w:ind w:right="48"/>
        <w:rPr>
          <w:rFonts w:ascii="Arial Narrow" w:eastAsia="Times New Roman" w:hAnsi="Arial Narrow" w:cs="Arial"/>
          <w:b/>
          <w:sz w:val="32"/>
          <w:szCs w:val="24"/>
        </w:rPr>
      </w:pPr>
      <w:bookmarkStart w:id="0" w:name="policy_statement"/>
      <w:r w:rsidRPr="0082106D">
        <w:rPr>
          <w:rFonts w:ascii="Arial Narrow" w:eastAsia="Times New Roman" w:hAnsi="Arial Narrow" w:cs="Arial"/>
          <w:b/>
          <w:sz w:val="32"/>
          <w:szCs w:val="24"/>
        </w:rPr>
        <w:t>Policy Statement</w:t>
      </w:r>
    </w:p>
    <w:bookmarkEnd w:id="0"/>
    <w:p w14:paraId="0C59FDD4" w14:textId="146EBB73" w:rsidR="0096491A" w:rsidRDefault="0013584D" w:rsidP="0096491A">
      <w:pPr>
        <w:pStyle w:val="ListParagraph"/>
        <w:numPr>
          <w:ilvl w:val="0"/>
          <w:numId w:val="1"/>
        </w:numPr>
        <w:rPr>
          <w:rFonts w:ascii="Arial" w:hAnsi="Arial" w:cs="Arial"/>
          <w:sz w:val="24"/>
          <w:szCs w:val="24"/>
        </w:rPr>
      </w:pPr>
      <w:r w:rsidRPr="0096491A">
        <w:rPr>
          <w:rFonts w:ascii="Arial" w:hAnsi="Arial" w:cs="Arial"/>
          <w:sz w:val="24"/>
          <w:szCs w:val="24"/>
        </w:rPr>
        <w:t xml:space="preserve">The </w:t>
      </w:r>
      <w:r w:rsidR="0096491A">
        <w:rPr>
          <w:rFonts w:ascii="Arial" w:hAnsi="Arial" w:cs="Arial"/>
          <w:sz w:val="24"/>
          <w:szCs w:val="24"/>
        </w:rPr>
        <w:t>C</w:t>
      </w:r>
      <w:r w:rsidR="0096491A" w:rsidRPr="0096491A">
        <w:rPr>
          <w:rFonts w:ascii="Arial" w:hAnsi="Arial" w:cs="Arial"/>
          <w:sz w:val="24"/>
          <w:szCs w:val="24"/>
        </w:rPr>
        <w:t>ouncils are committed to preventing, identifying, and dealing with all types of Anti-Social Behaviour (ASB) and hate related behaviour and crimes.</w:t>
      </w:r>
    </w:p>
    <w:p w14:paraId="7719EAC3" w14:textId="77777777" w:rsidR="0096491A" w:rsidRDefault="0096491A" w:rsidP="0096491A">
      <w:pPr>
        <w:pStyle w:val="ListParagraph"/>
        <w:ind w:left="567"/>
        <w:rPr>
          <w:rFonts w:ascii="Arial" w:hAnsi="Arial" w:cs="Arial"/>
          <w:sz w:val="24"/>
          <w:szCs w:val="24"/>
        </w:rPr>
      </w:pPr>
    </w:p>
    <w:p w14:paraId="79349431" w14:textId="06B1D148" w:rsidR="0096491A" w:rsidRPr="0096491A" w:rsidRDefault="0096491A" w:rsidP="0096491A">
      <w:pPr>
        <w:pStyle w:val="ListParagraph"/>
        <w:numPr>
          <w:ilvl w:val="0"/>
          <w:numId w:val="1"/>
        </w:numPr>
        <w:rPr>
          <w:rFonts w:ascii="Arial" w:hAnsi="Arial" w:cs="Arial"/>
          <w:sz w:val="24"/>
          <w:szCs w:val="24"/>
        </w:rPr>
      </w:pPr>
      <w:r w:rsidRPr="0096491A">
        <w:rPr>
          <w:rFonts w:ascii="Arial" w:hAnsi="Arial" w:cs="Arial"/>
          <w:sz w:val="24"/>
          <w:szCs w:val="24"/>
        </w:rPr>
        <w:t>In accordance with the ASB, Crime and Policing Act 2014, and for the purpose of this policy, anti-social behaviour will be defined as:</w:t>
      </w:r>
    </w:p>
    <w:p w14:paraId="7126200C" w14:textId="77777777" w:rsidR="0096491A" w:rsidRPr="0096491A" w:rsidRDefault="0096491A" w:rsidP="0096491A">
      <w:pPr>
        <w:pStyle w:val="ListParagraph"/>
        <w:ind w:left="567"/>
        <w:rPr>
          <w:rFonts w:ascii="Arial" w:hAnsi="Arial" w:cs="Arial"/>
          <w:sz w:val="24"/>
          <w:szCs w:val="24"/>
        </w:rPr>
      </w:pPr>
    </w:p>
    <w:p w14:paraId="5EA85D20" w14:textId="77777777" w:rsidR="0096491A" w:rsidRPr="0096491A" w:rsidRDefault="0096491A" w:rsidP="0096491A">
      <w:pPr>
        <w:pStyle w:val="ListParagraph"/>
        <w:ind w:left="567"/>
        <w:rPr>
          <w:rFonts w:ascii="Arial" w:hAnsi="Arial" w:cs="Arial"/>
          <w:i/>
          <w:iCs/>
          <w:sz w:val="24"/>
          <w:szCs w:val="24"/>
        </w:rPr>
      </w:pPr>
      <w:r w:rsidRPr="0096491A">
        <w:rPr>
          <w:rFonts w:ascii="Arial" w:hAnsi="Arial" w:cs="Arial"/>
          <w:i/>
          <w:iCs/>
          <w:sz w:val="24"/>
          <w:szCs w:val="24"/>
        </w:rPr>
        <w:t>Acting in a manner that caused or was likely to cause harassment, alarm or distress to one or more persons not of the same household as (the defendant). The Crime and Disorder Act (1998)</w:t>
      </w:r>
    </w:p>
    <w:p w14:paraId="7C097CB2" w14:textId="77777777" w:rsidR="0096491A" w:rsidRPr="0096491A" w:rsidRDefault="0096491A" w:rsidP="0096491A">
      <w:pPr>
        <w:pStyle w:val="ListParagraph"/>
        <w:ind w:left="567"/>
        <w:rPr>
          <w:rFonts w:ascii="Arial" w:hAnsi="Arial" w:cs="Arial"/>
          <w:sz w:val="24"/>
          <w:szCs w:val="24"/>
        </w:rPr>
      </w:pPr>
    </w:p>
    <w:p w14:paraId="41A3BC8B" w14:textId="1943E9E0" w:rsidR="0013584D" w:rsidRDefault="0096491A" w:rsidP="0096491A">
      <w:pPr>
        <w:pStyle w:val="ListParagraph"/>
        <w:numPr>
          <w:ilvl w:val="0"/>
          <w:numId w:val="1"/>
        </w:numPr>
        <w:rPr>
          <w:rFonts w:ascii="Arial" w:hAnsi="Arial" w:cs="Arial"/>
          <w:sz w:val="24"/>
          <w:szCs w:val="24"/>
        </w:rPr>
      </w:pPr>
      <w:r w:rsidRPr="0096491A">
        <w:rPr>
          <w:rFonts w:ascii="Arial" w:hAnsi="Arial" w:cs="Arial"/>
          <w:sz w:val="24"/>
          <w:szCs w:val="24"/>
        </w:rPr>
        <w:t xml:space="preserve"> Domestic Abuse is covered specifically under the Domestic Abuse Policy.</w:t>
      </w:r>
    </w:p>
    <w:p w14:paraId="5D6FF6BD" w14:textId="77777777" w:rsidR="00482ADE" w:rsidRDefault="00482ADE" w:rsidP="00482ADE">
      <w:pPr>
        <w:pStyle w:val="ListParagraph"/>
        <w:ind w:left="567"/>
        <w:rPr>
          <w:rFonts w:ascii="Arial" w:hAnsi="Arial" w:cs="Arial"/>
          <w:sz w:val="24"/>
          <w:szCs w:val="24"/>
        </w:rPr>
      </w:pPr>
    </w:p>
    <w:p w14:paraId="1DC2D339" w14:textId="4602FFBC" w:rsidR="00482ADE" w:rsidRDefault="00482ADE" w:rsidP="00482ADE">
      <w:pPr>
        <w:pStyle w:val="ListParagraph"/>
        <w:numPr>
          <w:ilvl w:val="0"/>
          <w:numId w:val="1"/>
        </w:numPr>
        <w:rPr>
          <w:rFonts w:ascii="Arial" w:hAnsi="Arial" w:cs="Arial"/>
          <w:sz w:val="24"/>
          <w:szCs w:val="24"/>
        </w:rPr>
      </w:pPr>
      <w:r w:rsidRPr="00482ADE">
        <w:rPr>
          <w:rFonts w:ascii="Arial" w:hAnsi="Arial" w:cs="Arial"/>
          <w:sz w:val="24"/>
          <w:szCs w:val="24"/>
        </w:rPr>
        <w:t xml:space="preserve">The Councils and the Service Provider believes that everyone has the right to live peacefully in their own homes and recognise the effect that ASB can have on communities so will seek to prevent and tackle anti-social behaviour, abuse, or hate related crime quickly, effectively, and sensitively. </w:t>
      </w:r>
    </w:p>
    <w:p w14:paraId="7E947FBB" w14:textId="77777777" w:rsidR="00482ADE" w:rsidRPr="00482ADE" w:rsidRDefault="00482ADE" w:rsidP="00482ADE">
      <w:pPr>
        <w:pStyle w:val="ListParagraph"/>
        <w:rPr>
          <w:rFonts w:ascii="Arial" w:hAnsi="Arial" w:cs="Arial"/>
          <w:sz w:val="24"/>
          <w:szCs w:val="24"/>
        </w:rPr>
      </w:pPr>
    </w:p>
    <w:p w14:paraId="562DEDE0" w14:textId="47E0ED29" w:rsidR="00482ADE" w:rsidRDefault="00482ADE" w:rsidP="00482ADE">
      <w:pPr>
        <w:pStyle w:val="ListParagraph"/>
        <w:numPr>
          <w:ilvl w:val="0"/>
          <w:numId w:val="1"/>
        </w:numPr>
        <w:rPr>
          <w:rFonts w:ascii="Arial" w:hAnsi="Arial" w:cs="Arial"/>
          <w:sz w:val="24"/>
          <w:szCs w:val="24"/>
        </w:rPr>
      </w:pPr>
      <w:r w:rsidRPr="00482ADE">
        <w:rPr>
          <w:rFonts w:ascii="Arial" w:hAnsi="Arial" w:cs="Arial"/>
          <w:sz w:val="24"/>
          <w:szCs w:val="24"/>
        </w:rPr>
        <w:t>Where there is no evidence of ASB The Service Provider will explain these findings to the claimant but where it is believed that a complaint is malicious or unreasonable, the case may be closed and where appropriate act against the claimant. Cases of ASB are monitored by diversity strands – for both claimants of ASB and respondents and analyse this data. This is to:</w:t>
      </w:r>
    </w:p>
    <w:p w14:paraId="1492B641" w14:textId="77777777" w:rsidR="00482ADE" w:rsidRPr="00482ADE" w:rsidRDefault="00482ADE" w:rsidP="00482ADE">
      <w:pPr>
        <w:pStyle w:val="ListParagraph"/>
        <w:rPr>
          <w:rFonts w:ascii="Arial" w:hAnsi="Arial" w:cs="Arial"/>
          <w:sz w:val="24"/>
          <w:szCs w:val="24"/>
        </w:rPr>
      </w:pPr>
    </w:p>
    <w:p w14:paraId="1AF7194F" w14:textId="77777777" w:rsidR="00482ADE" w:rsidRPr="00482ADE" w:rsidRDefault="00482ADE" w:rsidP="00482ADE">
      <w:pPr>
        <w:pStyle w:val="ListParagraph"/>
        <w:ind w:left="567"/>
        <w:rPr>
          <w:rFonts w:ascii="Arial" w:hAnsi="Arial" w:cs="Arial"/>
          <w:sz w:val="24"/>
          <w:szCs w:val="24"/>
        </w:rPr>
      </w:pPr>
    </w:p>
    <w:p w14:paraId="3B0B7EBF" w14:textId="77777777" w:rsidR="00482ADE" w:rsidRPr="00482ADE" w:rsidRDefault="00482ADE" w:rsidP="00482ADE">
      <w:pPr>
        <w:pStyle w:val="ListParagraph"/>
        <w:numPr>
          <w:ilvl w:val="0"/>
          <w:numId w:val="16"/>
        </w:numPr>
        <w:rPr>
          <w:rFonts w:ascii="Arial" w:hAnsi="Arial" w:cs="Arial"/>
          <w:sz w:val="24"/>
          <w:szCs w:val="24"/>
        </w:rPr>
      </w:pPr>
      <w:r w:rsidRPr="00482ADE">
        <w:rPr>
          <w:rFonts w:ascii="Arial" w:hAnsi="Arial" w:cs="Arial"/>
          <w:sz w:val="24"/>
          <w:szCs w:val="24"/>
        </w:rPr>
        <w:t>Increase understanding of which groups are respondents and/or claimants of ASB</w:t>
      </w:r>
    </w:p>
    <w:p w14:paraId="430A2D18" w14:textId="77777777" w:rsidR="00482ADE" w:rsidRPr="00482ADE" w:rsidRDefault="00482ADE" w:rsidP="00482ADE">
      <w:pPr>
        <w:pStyle w:val="ListParagraph"/>
        <w:numPr>
          <w:ilvl w:val="0"/>
          <w:numId w:val="16"/>
        </w:numPr>
        <w:rPr>
          <w:rFonts w:ascii="Arial" w:hAnsi="Arial" w:cs="Arial"/>
          <w:sz w:val="24"/>
          <w:szCs w:val="24"/>
        </w:rPr>
      </w:pPr>
      <w:r w:rsidRPr="00482ADE">
        <w:rPr>
          <w:rFonts w:ascii="Arial" w:hAnsi="Arial" w:cs="Arial"/>
          <w:sz w:val="24"/>
          <w:szCs w:val="24"/>
        </w:rPr>
        <w:t>Determine which groups may not be reporting ASB, or which certain groups may be disproportionately represented amongst respondents or claimants</w:t>
      </w:r>
    </w:p>
    <w:p w14:paraId="7870C509" w14:textId="014BCED5" w:rsidR="00482ADE" w:rsidRDefault="00482ADE" w:rsidP="00482ADE">
      <w:pPr>
        <w:pStyle w:val="ListParagraph"/>
        <w:numPr>
          <w:ilvl w:val="0"/>
          <w:numId w:val="16"/>
        </w:numPr>
        <w:rPr>
          <w:rFonts w:ascii="Arial" w:hAnsi="Arial" w:cs="Arial"/>
          <w:sz w:val="24"/>
          <w:szCs w:val="24"/>
        </w:rPr>
      </w:pPr>
      <w:r w:rsidRPr="00482ADE">
        <w:rPr>
          <w:rFonts w:ascii="Arial" w:hAnsi="Arial" w:cs="Arial"/>
          <w:sz w:val="24"/>
          <w:szCs w:val="24"/>
        </w:rPr>
        <w:t>Tailor and target services accordingly.</w:t>
      </w:r>
    </w:p>
    <w:p w14:paraId="544A65CB" w14:textId="72A73A0A" w:rsidR="004A7E73" w:rsidRDefault="004A7E73" w:rsidP="004A7E73">
      <w:pPr>
        <w:rPr>
          <w:rFonts w:ascii="Arial" w:hAnsi="Arial" w:cs="Arial"/>
          <w:sz w:val="24"/>
          <w:szCs w:val="24"/>
        </w:rPr>
      </w:pPr>
    </w:p>
    <w:p w14:paraId="146A8F84" w14:textId="5710746C" w:rsidR="004A7E73" w:rsidRDefault="004A7E73" w:rsidP="004A7E73">
      <w:pPr>
        <w:rPr>
          <w:rFonts w:ascii="Arial" w:hAnsi="Arial" w:cs="Arial"/>
          <w:sz w:val="24"/>
          <w:szCs w:val="24"/>
        </w:rPr>
      </w:pPr>
    </w:p>
    <w:p w14:paraId="2D4F394A" w14:textId="53558E7E" w:rsidR="004A7E73" w:rsidRDefault="004A7E73" w:rsidP="004A7E73">
      <w:pPr>
        <w:rPr>
          <w:rFonts w:ascii="Arial" w:hAnsi="Arial" w:cs="Arial"/>
          <w:sz w:val="24"/>
          <w:szCs w:val="24"/>
        </w:rPr>
      </w:pPr>
    </w:p>
    <w:p w14:paraId="144863F9" w14:textId="38300606" w:rsidR="004A7E73" w:rsidRDefault="004A7E73" w:rsidP="004A7E73">
      <w:pPr>
        <w:rPr>
          <w:rFonts w:ascii="Arial" w:hAnsi="Arial" w:cs="Arial"/>
          <w:sz w:val="24"/>
          <w:szCs w:val="24"/>
        </w:rPr>
      </w:pPr>
    </w:p>
    <w:p w14:paraId="2563E15C" w14:textId="03C93D59" w:rsidR="004A7E73" w:rsidRDefault="004A7E73" w:rsidP="004A7E73">
      <w:pPr>
        <w:rPr>
          <w:rFonts w:ascii="Arial" w:hAnsi="Arial" w:cs="Arial"/>
          <w:sz w:val="24"/>
          <w:szCs w:val="24"/>
        </w:rPr>
      </w:pPr>
    </w:p>
    <w:p w14:paraId="5A433847" w14:textId="77777777" w:rsidR="004A7E73" w:rsidRPr="004A7E73" w:rsidRDefault="004A7E73" w:rsidP="004A7E73">
      <w:pPr>
        <w:rPr>
          <w:rFonts w:ascii="Arial" w:hAnsi="Arial" w:cs="Arial"/>
          <w:sz w:val="24"/>
          <w:szCs w:val="24"/>
        </w:rPr>
      </w:pPr>
    </w:p>
    <w:p w14:paraId="40797401" w14:textId="77777777" w:rsidR="00482ADE" w:rsidRPr="0096491A" w:rsidRDefault="00482ADE" w:rsidP="00482ADE">
      <w:pPr>
        <w:pStyle w:val="ListParagraph"/>
        <w:ind w:left="567"/>
        <w:rPr>
          <w:rFonts w:ascii="Arial" w:hAnsi="Arial" w:cs="Arial"/>
          <w:sz w:val="24"/>
          <w:szCs w:val="24"/>
        </w:rPr>
      </w:pPr>
    </w:p>
    <w:p w14:paraId="1ADF2338" w14:textId="7235009F" w:rsidR="00A42AA3" w:rsidRPr="0082106D" w:rsidRDefault="0082106D" w:rsidP="00A42AA3">
      <w:pPr>
        <w:spacing w:after="360" w:line="240" w:lineRule="auto"/>
        <w:ind w:right="48"/>
        <w:rPr>
          <w:rFonts w:ascii="Arial Narrow" w:eastAsia="Times New Roman" w:hAnsi="Arial Narrow" w:cs="Arial"/>
          <w:b/>
          <w:sz w:val="32"/>
          <w:szCs w:val="24"/>
        </w:rPr>
      </w:pPr>
      <w:bookmarkStart w:id="1" w:name="the_need_for_a_corporate_complaints_poli"/>
      <w:r>
        <w:rPr>
          <w:rFonts w:ascii="Arial Narrow" w:eastAsia="Times New Roman" w:hAnsi="Arial Narrow" w:cs="Arial"/>
          <w:b/>
          <w:sz w:val="32"/>
          <w:szCs w:val="24"/>
        </w:rPr>
        <w:t>Aim of the Policy</w:t>
      </w:r>
    </w:p>
    <w:bookmarkEnd w:id="1"/>
    <w:p w14:paraId="5FE4681A" w14:textId="6997387D" w:rsidR="0013584D" w:rsidRDefault="0096491A" w:rsidP="0096491A">
      <w:pPr>
        <w:pStyle w:val="ListParagraph"/>
        <w:numPr>
          <w:ilvl w:val="0"/>
          <w:numId w:val="1"/>
        </w:numPr>
        <w:rPr>
          <w:rFonts w:ascii="Arial" w:eastAsia="Arial" w:hAnsi="Arial" w:cs="Arial"/>
          <w:sz w:val="24"/>
          <w:szCs w:val="24"/>
          <w:lang w:eastAsia="en-GB" w:bidi="en-GB"/>
        </w:rPr>
      </w:pPr>
      <w:r w:rsidRPr="0096491A">
        <w:rPr>
          <w:rFonts w:ascii="Arial" w:eastAsia="Arial" w:hAnsi="Arial" w:cs="Arial"/>
          <w:sz w:val="24"/>
          <w:szCs w:val="24"/>
          <w:lang w:eastAsia="en-GB" w:bidi="en-GB"/>
        </w:rPr>
        <w:t>The Service Provider aims to prevent ASB in the first instance through early intervention and effective neighbourhood solutions such as mediation, but where incidents do occur then they will endeavour to identify the root cause of the behaviour and take appropriate actions.</w:t>
      </w:r>
    </w:p>
    <w:p w14:paraId="695EF231" w14:textId="77777777" w:rsidR="00482ADE" w:rsidRPr="00482ADE" w:rsidRDefault="00482ADE" w:rsidP="00482ADE">
      <w:pPr>
        <w:rPr>
          <w:rFonts w:ascii="Arial" w:eastAsia="Arial" w:hAnsi="Arial" w:cs="Arial"/>
          <w:sz w:val="24"/>
          <w:szCs w:val="24"/>
          <w:lang w:eastAsia="en-GB" w:bidi="en-GB"/>
        </w:rPr>
      </w:pPr>
    </w:p>
    <w:p w14:paraId="30D30573" w14:textId="77777777" w:rsidR="0096491A" w:rsidRPr="0096491A" w:rsidRDefault="0096491A" w:rsidP="0096491A">
      <w:pPr>
        <w:ind w:left="113"/>
        <w:rPr>
          <w:rFonts w:ascii="Arial Narrow" w:hAnsi="Arial Narrow" w:cs="Arial"/>
          <w:b/>
          <w:bCs/>
          <w:sz w:val="32"/>
          <w:szCs w:val="32"/>
        </w:rPr>
      </w:pPr>
      <w:r w:rsidRPr="0096491A">
        <w:rPr>
          <w:rFonts w:ascii="Arial Narrow" w:hAnsi="Arial Narrow" w:cs="Arial"/>
          <w:b/>
          <w:bCs/>
          <w:sz w:val="32"/>
          <w:szCs w:val="32"/>
        </w:rPr>
        <w:t xml:space="preserve">Unwelcome Behaviour  </w:t>
      </w:r>
    </w:p>
    <w:p w14:paraId="76A82DD8" w14:textId="4BACF2AA" w:rsidR="0096491A" w:rsidRPr="0096491A" w:rsidRDefault="0096491A" w:rsidP="0096491A">
      <w:pPr>
        <w:pStyle w:val="ListParagraph"/>
        <w:numPr>
          <w:ilvl w:val="0"/>
          <w:numId w:val="1"/>
        </w:numPr>
        <w:rPr>
          <w:rFonts w:ascii="Arial" w:eastAsia="Arial" w:hAnsi="Arial" w:cs="Arial"/>
          <w:sz w:val="24"/>
          <w:szCs w:val="24"/>
          <w:lang w:eastAsia="en-GB" w:bidi="en-GB"/>
        </w:rPr>
      </w:pPr>
      <w:r w:rsidRPr="0096491A">
        <w:rPr>
          <w:rFonts w:ascii="Arial" w:hAnsi="Arial" w:cs="Arial"/>
          <w:sz w:val="24"/>
          <w:szCs w:val="24"/>
        </w:rPr>
        <w:t>The Councils and The Service Provider defines Unwelcome Behaviour as activities that people find upsetting but are not a breach of a tenancy agreement, or criminal act. The Councils and Service Provider expects a reasonable level of tolerance and will not investigate cases about:</w:t>
      </w:r>
    </w:p>
    <w:p w14:paraId="2CF3B92C" w14:textId="105CFEB0" w:rsidR="0096491A" w:rsidRPr="0096491A" w:rsidRDefault="0096491A" w:rsidP="0096491A">
      <w:pPr>
        <w:pStyle w:val="ListParagraph"/>
        <w:numPr>
          <w:ilvl w:val="0"/>
          <w:numId w:val="12"/>
        </w:numPr>
        <w:rPr>
          <w:rFonts w:ascii="Arial" w:hAnsi="Arial" w:cs="Arial"/>
          <w:sz w:val="24"/>
          <w:szCs w:val="24"/>
        </w:rPr>
      </w:pPr>
      <w:r w:rsidRPr="0096491A">
        <w:rPr>
          <w:rFonts w:ascii="Arial" w:hAnsi="Arial" w:cs="Arial"/>
          <w:sz w:val="24"/>
          <w:szCs w:val="24"/>
        </w:rPr>
        <w:t>People’s day to day activities</w:t>
      </w:r>
    </w:p>
    <w:p w14:paraId="1D1390A6" w14:textId="4AB7E601" w:rsidR="0096491A" w:rsidRPr="0096491A" w:rsidRDefault="0096491A" w:rsidP="0096491A">
      <w:pPr>
        <w:pStyle w:val="ListParagraph"/>
        <w:numPr>
          <w:ilvl w:val="0"/>
          <w:numId w:val="12"/>
        </w:numPr>
        <w:rPr>
          <w:rFonts w:ascii="Arial" w:hAnsi="Arial" w:cs="Arial"/>
          <w:sz w:val="24"/>
          <w:szCs w:val="24"/>
        </w:rPr>
      </w:pPr>
      <w:r w:rsidRPr="0096491A">
        <w:rPr>
          <w:rFonts w:ascii="Arial" w:hAnsi="Arial" w:cs="Arial"/>
          <w:sz w:val="24"/>
          <w:szCs w:val="24"/>
        </w:rPr>
        <w:t>General household noise</w:t>
      </w:r>
    </w:p>
    <w:p w14:paraId="12A0E49C" w14:textId="64AC01D2" w:rsidR="0096491A" w:rsidRPr="0096491A" w:rsidRDefault="0096491A" w:rsidP="0096491A">
      <w:pPr>
        <w:pStyle w:val="ListParagraph"/>
        <w:numPr>
          <w:ilvl w:val="0"/>
          <w:numId w:val="12"/>
        </w:numPr>
        <w:rPr>
          <w:rFonts w:ascii="Arial" w:hAnsi="Arial" w:cs="Arial"/>
          <w:sz w:val="24"/>
          <w:szCs w:val="24"/>
        </w:rPr>
      </w:pPr>
      <w:r w:rsidRPr="0096491A">
        <w:rPr>
          <w:rFonts w:ascii="Arial" w:hAnsi="Arial" w:cs="Arial"/>
          <w:sz w:val="24"/>
          <w:szCs w:val="24"/>
        </w:rPr>
        <w:t>Thoughtlessness</w:t>
      </w:r>
    </w:p>
    <w:p w14:paraId="416EDFE8" w14:textId="58F2AAB0" w:rsidR="0096491A" w:rsidRPr="0096491A" w:rsidRDefault="0096491A" w:rsidP="0096491A">
      <w:pPr>
        <w:pStyle w:val="ListParagraph"/>
        <w:numPr>
          <w:ilvl w:val="0"/>
          <w:numId w:val="12"/>
        </w:numPr>
        <w:rPr>
          <w:rFonts w:ascii="Arial" w:hAnsi="Arial" w:cs="Arial"/>
          <w:sz w:val="24"/>
          <w:szCs w:val="24"/>
        </w:rPr>
      </w:pPr>
      <w:r w:rsidRPr="0096491A">
        <w:rPr>
          <w:rFonts w:ascii="Arial" w:hAnsi="Arial" w:cs="Arial"/>
          <w:sz w:val="24"/>
          <w:szCs w:val="24"/>
        </w:rPr>
        <w:t>Uncourteous behaviour</w:t>
      </w:r>
    </w:p>
    <w:p w14:paraId="559099B4" w14:textId="2195F430" w:rsidR="0096491A" w:rsidRPr="0096491A" w:rsidRDefault="0096491A" w:rsidP="0096491A">
      <w:pPr>
        <w:pStyle w:val="ListParagraph"/>
        <w:numPr>
          <w:ilvl w:val="0"/>
          <w:numId w:val="12"/>
        </w:numPr>
        <w:rPr>
          <w:rFonts w:ascii="Arial" w:hAnsi="Arial" w:cs="Arial"/>
          <w:sz w:val="24"/>
          <w:szCs w:val="24"/>
        </w:rPr>
      </w:pPr>
      <w:r w:rsidRPr="0096491A">
        <w:rPr>
          <w:rFonts w:ascii="Arial" w:hAnsi="Arial" w:cs="Arial"/>
          <w:sz w:val="24"/>
          <w:szCs w:val="24"/>
        </w:rPr>
        <w:t>Posts on social media</w:t>
      </w:r>
    </w:p>
    <w:p w14:paraId="276560BD" w14:textId="078F2EC0" w:rsidR="0096491A" w:rsidRPr="0096491A" w:rsidRDefault="0096491A" w:rsidP="0096491A">
      <w:pPr>
        <w:pStyle w:val="ListParagraph"/>
        <w:numPr>
          <w:ilvl w:val="0"/>
          <w:numId w:val="12"/>
        </w:numPr>
        <w:rPr>
          <w:rFonts w:ascii="Arial" w:hAnsi="Arial" w:cs="Arial"/>
          <w:sz w:val="24"/>
          <w:szCs w:val="24"/>
        </w:rPr>
      </w:pPr>
      <w:r w:rsidRPr="0096491A">
        <w:rPr>
          <w:rFonts w:ascii="Arial" w:hAnsi="Arial" w:cs="Arial"/>
          <w:sz w:val="24"/>
          <w:szCs w:val="24"/>
        </w:rPr>
        <w:t>Poor parking</w:t>
      </w:r>
    </w:p>
    <w:p w14:paraId="773CFE09" w14:textId="164163F9" w:rsidR="0096491A" w:rsidRPr="0096491A" w:rsidRDefault="0096491A" w:rsidP="0096491A">
      <w:pPr>
        <w:pStyle w:val="ListParagraph"/>
        <w:numPr>
          <w:ilvl w:val="0"/>
          <w:numId w:val="12"/>
        </w:numPr>
        <w:rPr>
          <w:rFonts w:ascii="Arial" w:hAnsi="Arial" w:cs="Arial"/>
          <w:sz w:val="24"/>
          <w:szCs w:val="24"/>
        </w:rPr>
      </w:pPr>
      <w:r w:rsidRPr="0096491A">
        <w:rPr>
          <w:rFonts w:ascii="Arial" w:hAnsi="Arial" w:cs="Arial"/>
          <w:sz w:val="24"/>
          <w:szCs w:val="24"/>
        </w:rPr>
        <w:t>Children playing</w:t>
      </w:r>
    </w:p>
    <w:p w14:paraId="79EA9521" w14:textId="041C016F" w:rsidR="0096491A" w:rsidRPr="0096491A" w:rsidRDefault="0096491A" w:rsidP="0096491A">
      <w:pPr>
        <w:pStyle w:val="ListParagraph"/>
        <w:numPr>
          <w:ilvl w:val="0"/>
          <w:numId w:val="12"/>
        </w:numPr>
        <w:rPr>
          <w:rFonts w:ascii="Arial" w:hAnsi="Arial" w:cs="Arial"/>
          <w:sz w:val="24"/>
          <w:szCs w:val="24"/>
        </w:rPr>
      </w:pPr>
      <w:r w:rsidRPr="0096491A">
        <w:rPr>
          <w:rFonts w:ascii="Arial" w:hAnsi="Arial" w:cs="Arial"/>
          <w:sz w:val="24"/>
          <w:szCs w:val="24"/>
        </w:rPr>
        <w:t>Lifestyle differences</w:t>
      </w:r>
    </w:p>
    <w:p w14:paraId="3768088D" w14:textId="739E85FD" w:rsidR="0096491A" w:rsidRPr="0096491A" w:rsidRDefault="0096491A" w:rsidP="0096491A">
      <w:pPr>
        <w:pStyle w:val="ListParagraph"/>
        <w:numPr>
          <w:ilvl w:val="0"/>
          <w:numId w:val="12"/>
        </w:numPr>
        <w:rPr>
          <w:rFonts w:ascii="Arial" w:hAnsi="Arial" w:cs="Arial"/>
          <w:sz w:val="24"/>
          <w:szCs w:val="24"/>
        </w:rPr>
      </w:pPr>
      <w:r w:rsidRPr="0096491A">
        <w:rPr>
          <w:rFonts w:ascii="Arial" w:hAnsi="Arial" w:cs="Arial"/>
          <w:sz w:val="24"/>
          <w:szCs w:val="24"/>
        </w:rPr>
        <w:t>Looking or staring at others</w:t>
      </w:r>
    </w:p>
    <w:p w14:paraId="2D1CE2EA" w14:textId="77777777" w:rsidR="0096491A" w:rsidRPr="0096491A" w:rsidRDefault="0096491A" w:rsidP="0096491A">
      <w:pPr>
        <w:rPr>
          <w:rFonts w:ascii="Arial" w:hAnsi="Arial" w:cs="Arial"/>
          <w:sz w:val="24"/>
          <w:szCs w:val="24"/>
        </w:rPr>
      </w:pPr>
    </w:p>
    <w:p w14:paraId="653F4BFE" w14:textId="210F129A" w:rsidR="0096491A" w:rsidRPr="0096491A" w:rsidRDefault="0096491A" w:rsidP="0096491A">
      <w:pPr>
        <w:pStyle w:val="ListParagraph"/>
        <w:numPr>
          <w:ilvl w:val="0"/>
          <w:numId w:val="1"/>
        </w:numPr>
        <w:rPr>
          <w:rFonts w:ascii="Arial" w:hAnsi="Arial" w:cs="Arial"/>
          <w:sz w:val="24"/>
          <w:szCs w:val="24"/>
        </w:rPr>
      </w:pPr>
      <w:r w:rsidRPr="0096491A">
        <w:rPr>
          <w:rFonts w:ascii="Arial" w:hAnsi="Arial" w:cs="Arial"/>
          <w:sz w:val="24"/>
          <w:szCs w:val="24"/>
        </w:rPr>
        <w:t>If you are affected by such activities, you are encouraged to speak politely to the person affecting you; or write them a polite letter explaining how it makes you feel and suggest some ways you could reach a compromise.</w:t>
      </w:r>
    </w:p>
    <w:p w14:paraId="3EA4126D" w14:textId="77777777" w:rsidR="0096491A" w:rsidRDefault="0096491A" w:rsidP="005702FD">
      <w:pPr>
        <w:rPr>
          <w:rFonts w:ascii="Arial Narrow" w:hAnsi="Arial Narrow" w:cs="Arial"/>
          <w:b/>
          <w:bCs/>
          <w:sz w:val="32"/>
          <w:szCs w:val="32"/>
        </w:rPr>
      </w:pPr>
    </w:p>
    <w:p w14:paraId="1A1C6AD1" w14:textId="64AEEB45" w:rsidR="005702FD" w:rsidRDefault="0096491A" w:rsidP="005702FD">
      <w:pPr>
        <w:rPr>
          <w:rFonts w:ascii="Arial Narrow" w:hAnsi="Arial Narrow" w:cs="Arial"/>
          <w:b/>
          <w:bCs/>
          <w:sz w:val="32"/>
          <w:szCs w:val="32"/>
        </w:rPr>
      </w:pPr>
      <w:r>
        <w:rPr>
          <w:rFonts w:ascii="Arial Narrow" w:hAnsi="Arial Narrow" w:cs="Arial"/>
          <w:b/>
          <w:bCs/>
          <w:sz w:val="32"/>
          <w:szCs w:val="32"/>
        </w:rPr>
        <w:t>Criminal Acts</w:t>
      </w:r>
    </w:p>
    <w:p w14:paraId="2584AF4D" w14:textId="6F0732F5" w:rsidR="0096491A" w:rsidRPr="0096491A" w:rsidRDefault="0096491A" w:rsidP="0096491A">
      <w:pPr>
        <w:pStyle w:val="ListParagraph"/>
        <w:numPr>
          <w:ilvl w:val="0"/>
          <w:numId w:val="1"/>
        </w:numPr>
        <w:rPr>
          <w:rFonts w:ascii="Arial" w:hAnsi="Arial" w:cs="Arial"/>
          <w:sz w:val="24"/>
          <w:szCs w:val="24"/>
        </w:rPr>
      </w:pPr>
      <w:r w:rsidRPr="0096491A">
        <w:rPr>
          <w:rFonts w:ascii="Arial" w:hAnsi="Arial" w:cs="Arial"/>
          <w:sz w:val="24"/>
          <w:szCs w:val="24"/>
        </w:rPr>
        <w:t>The Councils and Service Provider do not have powers to enforce criminal law (e.g., assaults, drug dealing, theft, etc). Where you have been the victim of a crime, you must report it to the police. You can let the Service Provider know too, and where the Service Provider can support the police in sharing evidence, or working together on preventing further crimes, they will do so. The police will take the lead in investigating and responding to crimes. Should the police choose not to take further action on a crime, The Service Provider has no additional powers to investigate or stop criminal acts.</w:t>
      </w:r>
    </w:p>
    <w:p w14:paraId="208D874E" w14:textId="77777777" w:rsidR="009868B0" w:rsidRPr="009868B0" w:rsidRDefault="009868B0" w:rsidP="009868B0">
      <w:pPr>
        <w:pStyle w:val="ListParagraph"/>
        <w:rPr>
          <w:rFonts w:ascii="Arial" w:hAnsi="Arial" w:cs="Arial"/>
          <w:sz w:val="24"/>
          <w:szCs w:val="24"/>
        </w:rPr>
      </w:pPr>
    </w:p>
    <w:p w14:paraId="67DF7CA1" w14:textId="77777777" w:rsidR="004A7E73" w:rsidRDefault="004A7E73" w:rsidP="009868B0">
      <w:pPr>
        <w:rPr>
          <w:rFonts w:ascii="Arial Narrow" w:hAnsi="Arial Narrow" w:cs="Arial"/>
          <w:b/>
          <w:bCs/>
          <w:sz w:val="32"/>
          <w:szCs w:val="32"/>
        </w:rPr>
      </w:pPr>
    </w:p>
    <w:p w14:paraId="0820F9BD" w14:textId="77777777" w:rsidR="004A7E73" w:rsidRDefault="004A7E73" w:rsidP="009868B0">
      <w:pPr>
        <w:rPr>
          <w:rFonts w:ascii="Arial Narrow" w:hAnsi="Arial Narrow" w:cs="Arial"/>
          <w:b/>
          <w:bCs/>
          <w:sz w:val="32"/>
          <w:szCs w:val="32"/>
        </w:rPr>
      </w:pPr>
    </w:p>
    <w:p w14:paraId="1181184A" w14:textId="03BD16D1" w:rsidR="009868B0" w:rsidRDefault="0096491A" w:rsidP="009868B0">
      <w:pPr>
        <w:rPr>
          <w:rFonts w:ascii="Arial Narrow" w:hAnsi="Arial Narrow" w:cs="Arial"/>
          <w:b/>
          <w:bCs/>
          <w:sz w:val="32"/>
          <w:szCs w:val="32"/>
        </w:rPr>
      </w:pPr>
      <w:r>
        <w:rPr>
          <w:rFonts w:ascii="Arial Narrow" w:hAnsi="Arial Narrow" w:cs="Arial"/>
          <w:b/>
          <w:bCs/>
          <w:sz w:val="32"/>
          <w:szCs w:val="32"/>
        </w:rPr>
        <w:t xml:space="preserve">Implementation </w:t>
      </w:r>
    </w:p>
    <w:p w14:paraId="64085C64" w14:textId="50627255" w:rsidR="00482ADE" w:rsidRDefault="00482ADE" w:rsidP="00482ADE">
      <w:pPr>
        <w:pStyle w:val="BodyText"/>
        <w:numPr>
          <w:ilvl w:val="0"/>
          <w:numId w:val="1"/>
        </w:numPr>
        <w:spacing w:line="268" w:lineRule="auto"/>
        <w:ind w:right="523"/>
      </w:pPr>
      <w:r>
        <w:t>The Service Provider</w:t>
      </w:r>
      <w:r w:rsidRPr="00574A95">
        <w:t xml:space="preserve"> will communicate clearly with all residents before and at the beginning of their tenancies about our expectations regarding ASB. This includes explaining the implications of breaching their tenancy agreement.</w:t>
      </w:r>
    </w:p>
    <w:p w14:paraId="6BC91000" w14:textId="77777777" w:rsidR="00482ADE" w:rsidRPr="00574A95" w:rsidRDefault="00482ADE" w:rsidP="00482ADE">
      <w:pPr>
        <w:pStyle w:val="BodyText"/>
        <w:spacing w:line="268" w:lineRule="auto"/>
        <w:ind w:left="567" w:right="523"/>
      </w:pPr>
    </w:p>
    <w:p w14:paraId="2FCD54D3" w14:textId="4E954AC6" w:rsidR="00482ADE" w:rsidRPr="00574A95" w:rsidRDefault="00482ADE" w:rsidP="00482ADE">
      <w:pPr>
        <w:pStyle w:val="BodyText"/>
        <w:numPr>
          <w:ilvl w:val="0"/>
          <w:numId w:val="1"/>
        </w:numPr>
        <w:spacing w:before="5" w:line="268" w:lineRule="auto"/>
        <w:ind w:right="1243"/>
      </w:pPr>
      <w:r w:rsidRPr="00574A95">
        <w:t xml:space="preserve">As part of </w:t>
      </w:r>
      <w:r>
        <w:t>the Service Providers</w:t>
      </w:r>
      <w:r w:rsidRPr="00574A95">
        <w:t xml:space="preserve"> case management, </w:t>
      </w:r>
      <w:r>
        <w:t>they</w:t>
      </w:r>
      <w:r w:rsidRPr="00574A95">
        <w:t xml:space="preserve"> will record all claims of ASB and will liaise with partners such as police and support agencies and will use various methods to gain evidence such as diaries, witness statements, and noise monitoring equipment / The Noise App.</w:t>
      </w:r>
    </w:p>
    <w:p w14:paraId="44A20162" w14:textId="77777777" w:rsidR="00482ADE" w:rsidRPr="00482ADE" w:rsidRDefault="00482ADE" w:rsidP="00482ADE">
      <w:pPr>
        <w:pStyle w:val="ListParagraph"/>
        <w:spacing w:after="0"/>
        <w:ind w:left="567"/>
        <w:rPr>
          <w:rFonts w:ascii="Arial" w:eastAsia="Arial" w:hAnsi="Arial" w:cs="Arial"/>
          <w:sz w:val="24"/>
          <w:szCs w:val="24"/>
          <w:lang w:eastAsia="en-GB"/>
        </w:rPr>
      </w:pPr>
    </w:p>
    <w:p w14:paraId="40D25BAE" w14:textId="588D6D2B" w:rsidR="0096491A" w:rsidRPr="0096491A" w:rsidRDefault="0096491A" w:rsidP="0096491A">
      <w:pPr>
        <w:pStyle w:val="ListParagraph"/>
        <w:numPr>
          <w:ilvl w:val="0"/>
          <w:numId w:val="1"/>
        </w:numPr>
        <w:spacing w:after="0"/>
        <w:rPr>
          <w:rFonts w:ascii="Arial" w:eastAsia="Arial" w:hAnsi="Arial" w:cs="Arial"/>
          <w:sz w:val="24"/>
          <w:szCs w:val="24"/>
          <w:lang w:eastAsia="en-GB"/>
        </w:rPr>
      </w:pPr>
      <w:r w:rsidRPr="0096491A">
        <w:rPr>
          <w:rFonts w:ascii="Arial" w:hAnsi="Arial" w:cs="Arial"/>
          <w:sz w:val="24"/>
          <w:szCs w:val="24"/>
        </w:rPr>
        <w:t>The Service Provider will prevent incidents of ASB in communities by:</w:t>
      </w:r>
    </w:p>
    <w:p w14:paraId="61140B1C" w14:textId="2B99DC53" w:rsidR="0096491A" w:rsidRPr="0096491A" w:rsidRDefault="0096491A" w:rsidP="0096491A">
      <w:pPr>
        <w:pStyle w:val="ListParagraph"/>
        <w:ind w:left="567"/>
        <w:rPr>
          <w:rFonts w:ascii="Arial" w:hAnsi="Arial" w:cs="Arial"/>
          <w:sz w:val="24"/>
          <w:szCs w:val="24"/>
        </w:rPr>
      </w:pPr>
      <w:r w:rsidRPr="0096491A">
        <w:rPr>
          <w:rFonts w:ascii="Arial" w:hAnsi="Arial" w:cs="Arial"/>
          <w:sz w:val="24"/>
          <w:szCs w:val="24"/>
        </w:rPr>
        <w:t>Raising awareness of the Service Provider’s robust approach to ASB and hate crimes</w:t>
      </w:r>
    </w:p>
    <w:p w14:paraId="58FB1666" w14:textId="29B1C582" w:rsidR="0096491A" w:rsidRPr="0096491A" w:rsidRDefault="0096491A" w:rsidP="00482ADE">
      <w:pPr>
        <w:pStyle w:val="ListParagraph"/>
        <w:numPr>
          <w:ilvl w:val="0"/>
          <w:numId w:val="17"/>
        </w:numPr>
        <w:rPr>
          <w:rFonts w:ascii="Arial" w:hAnsi="Arial" w:cs="Arial"/>
          <w:sz w:val="24"/>
          <w:szCs w:val="24"/>
        </w:rPr>
      </w:pPr>
      <w:r w:rsidRPr="0096491A">
        <w:rPr>
          <w:rFonts w:ascii="Arial" w:hAnsi="Arial" w:cs="Arial"/>
          <w:sz w:val="24"/>
          <w:szCs w:val="24"/>
        </w:rPr>
        <w:t>Providing new tenants with clear guidelines and expectations</w:t>
      </w:r>
    </w:p>
    <w:p w14:paraId="3397301B" w14:textId="364344F0" w:rsidR="0096491A" w:rsidRPr="0096491A" w:rsidRDefault="0096491A" w:rsidP="00482ADE">
      <w:pPr>
        <w:pStyle w:val="ListParagraph"/>
        <w:numPr>
          <w:ilvl w:val="0"/>
          <w:numId w:val="17"/>
        </w:numPr>
        <w:rPr>
          <w:rFonts w:ascii="Arial" w:hAnsi="Arial" w:cs="Arial"/>
          <w:sz w:val="24"/>
          <w:szCs w:val="24"/>
        </w:rPr>
      </w:pPr>
      <w:r w:rsidRPr="0096491A">
        <w:rPr>
          <w:rFonts w:ascii="Arial" w:hAnsi="Arial" w:cs="Arial"/>
          <w:sz w:val="24"/>
          <w:szCs w:val="24"/>
        </w:rPr>
        <w:t>Providing access to local support agencies</w:t>
      </w:r>
    </w:p>
    <w:p w14:paraId="4A1D489C" w14:textId="39D73A99" w:rsidR="0096491A" w:rsidRPr="0096491A" w:rsidRDefault="0096491A" w:rsidP="00482ADE">
      <w:pPr>
        <w:pStyle w:val="ListParagraph"/>
        <w:numPr>
          <w:ilvl w:val="0"/>
          <w:numId w:val="17"/>
        </w:numPr>
        <w:rPr>
          <w:rFonts w:ascii="Arial" w:hAnsi="Arial" w:cs="Arial"/>
          <w:sz w:val="24"/>
          <w:szCs w:val="24"/>
        </w:rPr>
      </w:pPr>
      <w:r w:rsidRPr="0096491A">
        <w:rPr>
          <w:rFonts w:ascii="Arial" w:hAnsi="Arial" w:cs="Arial"/>
          <w:sz w:val="24"/>
          <w:szCs w:val="24"/>
        </w:rPr>
        <w:t>Working closely with partnering agencies and our communities</w:t>
      </w:r>
    </w:p>
    <w:p w14:paraId="6077697A" w14:textId="6A09493E" w:rsidR="0096491A" w:rsidRDefault="0096491A" w:rsidP="00482ADE">
      <w:pPr>
        <w:pStyle w:val="ListParagraph"/>
        <w:numPr>
          <w:ilvl w:val="0"/>
          <w:numId w:val="17"/>
        </w:numPr>
        <w:rPr>
          <w:rFonts w:ascii="Arial" w:hAnsi="Arial" w:cs="Arial"/>
          <w:sz w:val="24"/>
          <w:szCs w:val="24"/>
        </w:rPr>
      </w:pPr>
      <w:r w:rsidRPr="0096491A">
        <w:rPr>
          <w:rFonts w:ascii="Arial" w:hAnsi="Arial" w:cs="Arial"/>
          <w:sz w:val="24"/>
          <w:szCs w:val="24"/>
        </w:rPr>
        <w:t xml:space="preserve">Publicising the work that The Service </w:t>
      </w:r>
      <w:r w:rsidR="004A7E73" w:rsidRPr="0096491A">
        <w:rPr>
          <w:rFonts w:ascii="Arial" w:hAnsi="Arial" w:cs="Arial"/>
          <w:sz w:val="24"/>
          <w:szCs w:val="24"/>
        </w:rPr>
        <w:t>Provider are</w:t>
      </w:r>
      <w:r w:rsidRPr="0096491A">
        <w:rPr>
          <w:rFonts w:ascii="Arial" w:hAnsi="Arial" w:cs="Arial"/>
          <w:sz w:val="24"/>
          <w:szCs w:val="24"/>
        </w:rPr>
        <w:t xml:space="preserve"> doing to prevent ASB and </w:t>
      </w:r>
      <w:r w:rsidR="004A7E73" w:rsidRPr="0096491A">
        <w:rPr>
          <w:rFonts w:ascii="Arial" w:hAnsi="Arial" w:cs="Arial"/>
          <w:sz w:val="24"/>
          <w:szCs w:val="24"/>
        </w:rPr>
        <w:t>enforcement action</w:t>
      </w:r>
      <w:r w:rsidRPr="0096491A">
        <w:rPr>
          <w:rFonts w:ascii="Arial" w:hAnsi="Arial" w:cs="Arial"/>
          <w:sz w:val="24"/>
          <w:szCs w:val="24"/>
        </w:rPr>
        <w:t xml:space="preserve"> taken</w:t>
      </w:r>
      <w:r>
        <w:rPr>
          <w:rFonts w:ascii="Arial" w:hAnsi="Arial" w:cs="Arial"/>
          <w:sz w:val="24"/>
          <w:szCs w:val="24"/>
        </w:rPr>
        <w:t>.</w:t>
      </w:r>
    </w:p>
    <w:p w14:paraId="5D925730" w14:textId="77777777" w:rsidR="00482ADE" w:rsidRDefault="00482ADE" w:rsidP="00482ADE">
      <w:pPr>
        <w:pStyle w:val="ListParagraph"/>
        <w:ind w:left="1287"/>
        <w:rPr>
          <w:rFonts w:ascii="Arial" w:hAnsi="Arial" w:cs="Arial"/>
          <w:sz w:val="24"/>
          <w:szCs w:val="24"/>
        </w:rPr>
      </w:pPr>
    </w:p>
    <w:p w14:paraId="559D148F" w14:textId="7399A11B" w:rsidR="0096491A" w:rsidRPr="0096491A" w:rsidRDefault="0096491A" w:rsidP="0096491A">
      <w:pPr>
        <w:pStyle w:val="ListParagraph"/>
        <w:numPr>
          <w:ilvl w:val="0"/>
          <w:numId w:val="1"/>
        </w:numPr>
        <w:rPr>
          <w:rFonts w:ascii="Arial" w:hAnsi="Arial" w:cs="Arial"/>
          <w:sz w:val="24"/>
          <w:szCs w:val="24"/>
        </w:rPr>
      </w:pPr>
      <w:r w:rsidRPr="0096491A">
        <w:rPr>
          <w:rFonts w:ascii="Arial" w:hAnsi="Arial" w:cs="Arial"/>
          <w:sz w:val="24"/>
          <w:szCs w:val="24"/>
        </w:rPr>
        <w:t>The Service Provider will provide a claimant centred approach and will support claimants (and respondents where appropriate) throughout their claim by:</w:t>
      </w:r>
    </w:p>
    <w:p w14:paraId="062AA305" w14:textId="0A195EBD" w:rsidR="0096491A" w:rsidRP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Dealing quickly and sensitively with all claims of ASB and hate crimes</w:t>
      </w:r>
    </w:p>
    <w:p w14:paraId="2CBCADF7" w14:textId="5B5EBEAD" w:rsidR="0096491A" w:rsidRP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Setting clear and published service standards</w:t>
      </w:r>
    </w:p>
    <w:p w14:paraId="5D6AAA94" w14:textId="2EBFA5C7" w:rsidR="0096491A" w:rsidRP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Providing a named officer to manage the case</w:t>
      </w:r>
    </w:p>
    <w:p w14:paraId="601EE567" w14:textId="1AD4397E" w:rsidR="0096491A" w:rsidRP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Providing access to mediation and victim support services</w:t>
      </w:r>
    </w:p>
    <w:p w14:paraId="1C538101" w14:textId="6D743320" w:rsidR="0096491A" w:rsidRP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Providing additional advice and support through The Service Provider Out of Hours service</w:t>
      </w:r>
    </w:p>
    <w:p w14:paraId="4A88BC02" w14:textId="5730543C" w:rsidR="0096491A" w:rsidRP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Keeping all parties advised of the progress of the case with regular updates</w:t>
      </w:r>
    </w:p>
    <w:p w14:paraId="7AA17EDA" w14:textId="7E8432ED" w:rsidR="0096491A" w:rsidRP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Agreeing action plans and timescales with customers</w:t>
      </w:r>
    </w:p>
    <w:p w14:paraId="208C6124" w14:textId="6D0E05D2" w:rsidR="0096491A" w:rsidRP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Respecting confidentiality of claimants while recognising that evidence is normally vital in successful case resolution. When a claimant does not allow The Service Provider to use their evidence then The Service Provider will not retain that evidence. This will be conveyed to the claimant. Where evidence is provided of abuse, crime, or disorder, The Service Provider reserves the right to share the evidence without consent of the evidence holder.</w:t>
      </w:r>
    </w:p>
    <w:p w14:paraId="447763F1" w14:textId="41EB5A75" w:rsid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Recognising the vulnerability of all those parties involved</w:t>
      </w:r>
    </w:p>
    <w:p w14:paraId="7CFA002F" w14:textId="745172A8" w:rsidR="004A7E73" w:rsidRDefault="004A7E73" w:rsidP="004A7E73">
      <w:pPr>
        <w:rPr>
          <w:rFonts w:ascii="Arial" w:hAnsi="Arial" w:cs="Arial"/>
          <w:sz w:val="24"/>
          <w:szCs w:val="24"/>
        </w:rPr>
      </w:pPr>
    </w:p>
    <w:p w14:paraId="73A88F37" w14:textId="77777777" w:rsidR="004A7E73" w:rsidRPr="004A7E73" w:rsidRDefault="004A7E73" w:rsidP="004A7E73">
      <w:pPr>
        <w:rPr>
          <w:rFonts w:ascii="Arial" w:hAnsi="Arial" w:cs="Arial"/>
          <w:sz w:val="24"/>
          <w:szCs w:val="24"/>
        </w:rPr>
      </w:pPr>
    </w:p>
    <w:p w14:paraId="3341E16E" w14:textId="493B94D5" w:rsidR="0096491A" w:rsidRP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Only closing a case with the agreement of the claimant or once The Service Provider has completed all actions agreed with the claimant at the outset of the case</w:t>
      </w:r>
    </w:p>
    <w:p w14:paraId="0171FA61" w14:textId="658F3E60" w:rsidR="0096491A" w:rsidRPr="0096491A" w:rsidRDefault="0096491A" w:rsidP="0096491A">
      <w:pPr>
        <w:pStyle w:val="ListParagraph"/>
        <w:numPr>
          <w:ilvl w:val="0"/>
          <w:numId w:val="13"/>
        </w:numPr>
        <w:rPr>
          <w:rFonts w:ascii="Arial" w:hAnsi="Arial" w:cs="Arial"/>
          <w:sz w:val="24"/>
          <w:szCs w:val="24"/>
        </w:rPr>
      </w:pPr>
      <w:r w:rsidRPr="0096491A">
        <w:rPr>
          <w:rFonts w:ascii="Arial" w:hAnsi="Arial" w:cs="Arial"/>
          <w:sz w:val="24"/>
          <w:szCs w:val="24"/>
        </w:rPr>
        <w:t>Asking for customer feedback once the case is closed</w:t>
      </w:r>
    </w:p>
    <w:p w14:paraId="0C9EFE4F" w14:textId="77777777" w:rsidR="0096491A" w:rsidRPr="0096491A" w:rsidRDefault="0096491A" w:rsidP="0096491A">
      <w:pPr>
        <w:pStyle w:val="ListParagraph"/>
        <w:ind w:left="567"/>
        <w:rPr>
          <w:rFonts w:ascii="Arial" w:hAnsi="Arial" w:cs="Arial"/>
          <w:sz w:val="24"/>
          <w:szCs w:val="24"/>
        </w:rPr>
      </w:pPr>
    </w:p>
    <w:p w14:paraId="096DC155" w14:textId="17C71C9A" w:rsidR="0096491A" w:rsidRPr="0096491A" w:rsidRDefault="0096491A" w:rsidP="0096491A">
      <w:pPr>
        <w:pStyle w:val="ListParagraph"/>
        <w:numPr>
          <w:ilvl w:val="0"/>
          <w:numId w:val="1"/>
        </w:numPr>
        <w:rPr>
          <w:rFonts w:ascii="Arial" w:hAnsi="Arial" w:cs="Arial"/>
          <w:sz w:val="24"/>
          <w:szCs w:val="24"/>
        </w:rPr>
      </w:pPr>
      <w:r w:rsidRPr="0096491A">
        <w:rPr>
          <w:rFonts w:ascii="Arial" w:hAnsi="Arial" w:cs="Arial"/>
          <w:sz w:val="24"/>
          <w:szCs w:val="24"/>
        </w:rPr>
        <w:t>The Service Provider will only use legal action where necessary and will work with those involved to resolve the situation by using:</w:t>
      </w:r>
    </w:p>
    <w:p w14:paraId="529E9FB6" w14:textId="4156806B" w:rsidR="0096491A" w:rsidRPr="0096491A" w:rsidRDefault="0096491A" w:rsidP="0096491A">
      <w:pPr>
        <w:pStyle w:val="ListParagraph"/>
        <w:numPr>
          <w:ilvl w:val="0"/>
          <w:numId w:val="14"/>
        </w:numPr>
        <w:rPr>
          <w:rFonts w:ascii="Arial" w:hAnsi="Arial" w:cs="Arial"/>
          <w:sz w:val="24"/>
          <w:szCs w:val="24"/>
        </w:rPr>
      </w:pPr>
      <w:r w:rsidRPr="0096491A">
        <w:rPr>
          <w:rFonts w:ascii="Arial" w:hAnsi="Arial" w:cs="Arial"/>
          <w:sz w:val="24"/>
          <w:szCs w:val="24"/>
        </w:rPr>
        <w:t>Restorative approach sessions</w:t>
      </w:r>
    </w:p>
    <w:p w14:paraId="2A61EE0C" w14:textId="2EFD86D9" w:rsidR="0096491A" w:rsidRPr="0096491A" w:rsidRDefault="0096491A" w:rsidP="0096491A">
      <w:pPr>
        <w:pStyle w:val="ListParagraph"/>
        <w:numPr>
          <w:ilvl w:val="0"/>
          <w:numId w:val="14"/>
        </w:numPr>
        <w:rPr>
          <w:rFonts w:ascii="Arial" w:hAnsi="Arial" w:cs="Arial"/>
          <w:sz w:val="24"/>
          <w:szCs w:val="24"/>
        </w:rPr>
      </w:pPr>
      <w:r w:rsidRPr="0096491A">
        <w:rPr>
          <w:rFonts w:ascii="Arial" w:hAnsi="Arial" w:cs="Arial"/>
          <w:sz w:val="24"/>
          <w:szCs w:val="24"/>
        </w:rPr>
        <w:t>Mediation</w:t>
      </w:r>
    </w:p>
    <w:p w14:paraId="09F60F8A" w14:textId="3EF71229" w:rsidR="0096491A" w:rsidRPr="0096491A" w:rsidRDefault="0096491A" w:rsidP="0096491A">
      <w:pPr>
        <w:pStyle w:val="ListParagraph"/>
        <w:numPr>
          <w:ilvl w:val="0"/>
          <w:numId w:val="14"/>
        </w:numPr>
        <w:rPr>
          <w:rFonts w:ascii="Arial" w:hAnsi="Arial" w:cs="Arial"/>
          <w:sz w:val="24"/>
          <w:szCs w:val="24"/>
        </w:rPr>
      </w:pPr>
      <w:r w:rsidRPr="0096491A">
        <w:rPr>
          <w:rFonts w:ascii="Arial" w:hAnsi="Arial" w:cs="Arial"/>
          <w:sz w:val="24"/>
          <w:szCs w:val="24"/>
        </w:rPr>
        <w:t>Victim support services</w:t>
      </w:r>
    </w:p>
    <w:p w14:paraId="3FBED80E" w14:textId="71C05DF1" w:rsidR="0096491A" w:rsidRPr="0096491A" w:rsidRDefault="0096491A" w:rsidP="0096491A">
      <w:pPr>
        <w:pStyle w:val="ListParagraph"/>
        <w:numPr>
          <w:ilvl w:val="0"/>
          <w:numId w:val="14"/>
        </w:numPr>
        <w:rPr>
          <w:rFonts w:ascii="Arial" w:hAnsi="Arial" w:cs="Arial"/>
          <w:sz w:val="24"/>
          <w:szCs w:val="24"/>
        </w:rPr>
      </w:pPr>
      <w:r>
        <w:rPr>
          <w:rFonts w:ascii="Arial" w:hAnsi="Arial" w:cs="Arial"/>
          <w:sz w:val="24"/>
          <w:szCs w:val="24"/>
        </w:rPr>
        <w:t>I</w:t>
      </w:r>
      <w:r w:rsidRPr="0096491A">
        <w:rPr>
          <w:rFonts w:ascii="Arial" w:hAnsi="Arial" w:cs="Arial"/>
          <w:sz w:val="24"/>
          <w:szCs w:val="24"/>
        </w:rPr>
        <w:t>nformal agreements</w:t>
      </w:r>
    </w:p>
    <w:p w14:paraId="17737066" w14:textId="7D2C956D" w:rsidR="0096491A" w:rsidRPr="0096491A" w:rsidRDefault="0096491A" w:rsidP="0096491A">
      <w:pPr>
        <w:pStyle w:val="ListParagraph"/>
        <w:numPr>
          <w:ilvl w:val="0"/>
          <w:numId w:val="14"/>
        </w:numPr>
        <w:rPr>
          <w:rFonts w:ascii="Arial" w:hAnsi="Arial" w:cs="Arial"/>
          <w:sz w:val="24"/>
          <w:szCs w:val="24"/>
        </w:rPr>
      </w:pPr>
      <w:r w:rsidRPr="0096491A">
        <w:rPr>
          <w:rFonts w:ascii="Arial" w:hAnsi="Arial" w:cs="Arial"/>
          <w:sz w:val="24"/>
          <w:szCs w:val="24"/>
        </w:rPr>
        <w:t>Acceptable Behaviour Contracts</w:t>
      </w:r>
    </w:p>
    <w:p w14:paraId="68C01865" w14:textId="313905B5" w:rsidR="009868B0" w:rsidRDefault="0096491A" w:rsidP="0096491A">
      <w:pPr>
        <w:pStyle w:val="ListParagraph"/>
        <w:numPr>
          <w:ilvl w:val="0"/>
          <w:numId w:val="14"/>
        </w:numPr>
        <w:rPr>
          <w:rFonts w:ascii="Arial" w:hAnsi="Arial" w:cs="Arial"/>
          <w:sz w:val="24"/>
          <w:szCs w:val="24"/>
        </w:rPr>
      </w:pPr>
      <w:r w:rsidRPr="0096491A">
        <w:rPr>
          <w:rFonts w:ascii="Arial" w:hAnsi="Arial" w:cs="Arial"/>
          <w:sz w:val="24"/>
          <w:szCs w:val="24"/>
        </w:rPr>
        <w:t>Diaries/Noise App/Noise monitoring equipment</w:t>
      </w:r>
    </w:p>
    <w:p w14:paraId="739CC2DF" w14:textId="77777777" w:rsidR="0096491A" w:rsidRDefault="0096491A" w:rsidP="0096491A">
      <w:pPr>
        <w:pStyle w:val="ListParagraph"/>
        <w:ind w:left="1287"/>
        <w:rPr>
          <w:rFonts w:ascii="Arial" w:hAnsi="Arial" w:cs="Arial"/>
          <w:sz w:val="24"/>
          <w:szCs w:val="24"/>
        </w:rPr>
      </w:pPr>
    </w:p>
    <w:p w14:paraId="056CBB8E" w14:textId="161FE8EE" w:rsidR="0096491A" w:rsidRDefault="0096491A" w:rsidP="0096491A">
      <w:pPr>
        <w:pStyle w:val="ListParagraph"/>
        <w:numPr>
          <w:ilvl w:val="0"/>
          <w:numId w:val="1"/>
        </w:numPr>
        <w:rPr>
          <w:rFonts w:ascii="Arial" w:hAnsi="Arial" w:cs="Arial"/>
          <w:sz w:val="24"/>
          <w:szCs w:val="24"/>
        </w:rPr>
      </w:pPr>
      <w:r w:rsidRPr="0096491A">
        <w:rPr>
          <w:rFonts w:ascii="Arial" w:hAnsi="Arial" w:cs="Arial"/>
          <w:sz w:val="24"/>
          <w:szCs w:val="24"/>
        </w:rPr>
        <w:t>Where these tools fail to achieve the desired outcome (or the ASB is of a serious nature) we will enforce the tenancy by using our tenancy clauses as well as the tools established by the ASB, Crime &amp; Policing Act (2014):</w:t>
      </w:r>
    </w:p>
    <w:p w14:paraId="102DDA9B" w14:textId="77777777" w:rsidR="0096491A" w:rsidRDefault="0096491A" w:rsidP="0096491A">
      <w:pPr>
        <w:pStyle w:val="ListParagraph"/>
        <w:ind w:left="567"/>
        <w:rPr>
          <w:rFonts w:ascii="Arial Narrow" w:hAnsi="Arial Narrow" w:cs="Arial"/>
          <w:sz w:val="24"/>
          <w:szCs w:val="24"/>
        </w:rPr>
      </w:pPr>
    </w:p>
    <w:p w14:paraId="2F44371C" w14:textId="23084AE4" w:rsidR="0096491A" w:rsidRPr="0096491A" w:rsidRDefault="0096491A" w:rsidP="0096491A">
      <w:pPr>
        <w:pStyle w:val="ListParagraph"/>
        <w:ind w:left="567"/>
        <w:rPr>
          <w:rFonts w:ascii="Arial" w:hAnsi="Arial" w:cs="Arial"/>
          <w:b/>
          <w:bCs/>
          <w:sz w:val="24"/>
          <w:szCs w:val="24"/>
        </w:rPr>
      </w:pPr>
      <w:r w:rsidRPr="0096491A">
        <w:rPr>
          <w:rFonts w:ascii="Arial" w:hAnsi="Arial" w:cs="Arial"/>
          <w:b/>
          <w:bCs/>
          <w:sz w:val="24"/>
          <w:szCs w:val="24"/>
        </w:rPr>
        <w:t>Tools available to Social Landlords under the ASB, Crime &amp; Policing Act (2014)</w:t>
      </w:r>
    </w:p>
    <w:p w14:paraId="67030C4B" w14:textId="77777777" w:rsidR="0096491A" w:rsidRPr="0096491A" w:rsidRDefault="0096491A" w:rsidP="0096491A">
      <w:pPr>
        <w:pStyle w:val="ListParagraph"/>
        <w:ind w:left="567"/>
        <w:rPr>
          <w:rFonts w:ascii="Arial Narrow" w:hAnsi="Arial Narrow" w:cs="Arial"/>
          <w:sz w:val="24"/>
          <w:szCs w:val="24"/>
        </w:rPr>
      </w:pPr>
    </w:p>
    <w:p w14:paraId="7AFB76A4" w14:textId="0AD8C8B4" w:rsidR="0096491A" w:rsidRPr="0096491A" w:rsidRDefault="0096491A" w:rsidP="0096491A">
      <w:pPr>
        <w:pStyle w:val="ListParagraph"/>
        <w:numPr>
          <w:ilvl w:val="0"/>
          <w:numId w:val="15"/>
        </w:numPr>
        <w:rPr>
          <w:rFonts w:ascii="Arial" w:hAnsi="Arial" w:cs="Arial"/>
          <w:sz w:val="24"/>
          <w:szCs w:val="24"/>
        </w:rPr>
      </w:pPr>
      <w:r w:rsidRPr="0096491A">
        <w:rPr>
          <w:rFonts w:ascii="Arial" w:hAnsi="Arial" w:cs="Arial"/>
          <w:sz w:val="24"/>
          <w:szCs w:val="24"/>
        </w:rPr>
        <w:t>Absolute Ground for Possession</w:t>
      </w:r>
    </w:p>
    <w:p w14:paraId="1C036E90" w14:textId="610F4A4B" w:rsidR="0096491A" w:rsidRPr="0096491A" w:rsidRDefault="0096491A" w:rsidP="0096491A">
      <w:pPr>
        <w:pStyle w:val="ListParagraph"/>
        <w:ind w:left="1287"/>
        <w:rPr>
          <w:rFonts w:ascii="Arial" w:hAnsi="Arial" w:cs="Arial"/>
          <w:sz w:val="24"/>
          <w:szCs w:val="24"/>
        </w:rPr>
      </w:pPr>
      <w:r w:rsidRPr="0096491A">
        <w:rPr>
          <w:rFonts w:ascii="Arial" w:hAnsi="Arial" w:cs="Arial"/>
          <w:sz w:val="24"/>
          <w:szCs w:val="24"/>
        </w:rPr>
        <w:t>Intended to expedite possession where another court has proven significant antisocial behaviour or criminality in the locality of the property. It is intended to provide better protection and faster relief for those affected/ witnesses. However, The Service Provider would have to wait until a criminal case is concluded prior to acting. This delay might lead The Service Provider to still progress with discretionary powers / a civil injunction if that is in the better interests of the community.</w:t>
      </w:r>
    </w:p>
    <w:p w14:paraId="22A1FE68" w14:textId="77777777" w:rsidR="0096491A" w:rsidRPr="0096491A" w:rsidRDefault="0096491A" w:rsidP="0096491A">
      <w:pPr>
        <w:pStyle w:val="ListParagraph"/>
        <w:ind w:left="1287"/>
        <w:rPr>
          <w:rFonts w:ascii="Arial" w:hAnsi="Arial" w:cs="Arial"/>
          <w:sz w:val="24"/>
          <w:szCs w:val="24"/>
        </w:rPr>
      </w:pPr>
    </w:p>
    <w:p w14:paraId="4AB53CE4" w14:textId="46DB2B0C" w:rsidR="0096491A" w:rsidRPr="0096491A" w:rsidRDefault="0096491A" w:rsidP="0096491A">
      <w:pPr>
        <w:pStyle w:val="ListParagraph"/>
        <w:numPr>
          <w:ilvl w:val="0"/>
          <w:numId w:val="15"/>
        </w:numPr>
        <w:rPr>
          <w:rFonts w:ascii="Arial" w:hAnsi="Arial" w:cs="Arial"/>
          <w:sz w:val="24"/>
          <w:szCs w:val="24"/>
        </w:rPr>
      </w:pPr>
      <w:r w:rsidRPr="0096491A">
        <w:rPr>
          <w:rFonts w:ascii="Arial" w:hAnsi="Arial" w:cs="Arial"/>
          <w:sz w:val="24"/>
          <w:szCs w:val="24"/>
        </w:rPr>
        <w:t>Criminal Behaviour Order</w:t>
      </w:r>
    </w:p>
    <w:p w14:paraId="25EDC19C" w14:textId="16573DE4" w:rsidR="0096491A" w:rsidRDefault="0096491A" w:rsidP="0096491A">
      <w:pPr>
        <w:pStyle w:val="ListParagraph"/>
        <w:ind w:left="1287"/>
        <w:rPr>
          <w:rFonts w:ascii="Arial" w:hAnsi="Arial" w:cs="Arial"/>
          <w:sz w:val="24"/>
          <w:szCs w:val="24"/>
        </w:rPr>
      </w:pPr>
      <w:r w:rsidRPr="0096491A">
        <w:rPr>
          <w:rFonts w:ascii="Arial" w:hAnsi="Arial" w:cs="Arial"/>
          <w:sz w:val="24"/>
          <w:szCs w:val="24"/>
        </w:rPr>
        <w:t>Police led action against persons convicted of criminal activity. These can also require positive action to address the anti-social behaviour. The Service Provider can assist the police with CBOs.</w:t>
      </w:r>
    </w:p>
    <w:p w14:paraId="2BEE1CE2" w14:textId="77777777" w:rsidR="0096491A" w:rsidRPr="0096491A" w:rsidRDefault="0096491A" w:rsidP="0096491A">
      <w:pPr>
        <w:pStyle w:val="ListParagraph"/>
        <w:ind w:left="1287"/>
        <w:rPr>
          <w:rFonts w:ascii="Arial" w:hAnsi="Arial" w:cs="Arial"/>
          <w:sz w:val="24"/>
          <w:szCs w:val="24"/>
        </w:rPr>
      </w:pPr>
    </w:p>
    <w:p w14:paraId="2D293BCA" w14:textId="41C59545" w:rsidR="0096491A" w:rsidRPr="0096491A" w:rsidRDefault="0096491A" w:rsidP="0096491A">
      <w:pPr>
        <w:pStyle w:val="ListParagraph"/>
        <w:numPr>
          <w:ilvl w:val="0"/>
          <w:numId w:val="15"/>
        </w:numPr>
        <w:rPr>
          <w:rFonts w:ascii="Arial" w:hAnsi="Arial" w:cs="Arial"/>
          <w:sz w:val="24"/>
          <w:szCs w:val="24"/>
        </w:rPr>
      </w:pPr>
      <w:r w:rsidRPr="0096491A">
        <w:rPr>
          <w:rFonts w:ascii="Arial" w:hAnsi="Arial" w:cs="Arial"/>
          <w:sz w:val="24"/>
          <w:szCs w:val="24"/>
        </w:rPr>
        <w:t>Civil Injunctions</w:t>
      </w:r>
    </w:p>
    <w:p w14:paraId="21E77E1D" w14:textId="68D6E7C2" w:rsidR="0096491A" w:rsidRDefault="0096491A" w:rsidP="0096491A">
      <w:pPr>
        <w:pStyle w:val="ListParagraph"/>
        <w:ind w:left="1287"/>
        <w:rPr>
          <w:rFonts w:ascii="Arial" w:hAnsi="Arial" w:cs="Arial"/>
          <w:sz w:val="24"/>
          <w:szCs w:val="24"/>
        </w:rPr>
      </w:pPr>
      <w:r w:rsidRPr="0096491A">
        <w:rPr>
          <w:rFonts w:ascii="Arial" w:hAnsi="Arial" w:cs="Arial"/>
          <w:sz w:val="24"/>
          <w:szCs w:val="24"/>
        </w:rPr>
        <w:t>These will allow the requirement for positive actions, as well as prohibitions, to tackle anti-social behaviour. These will require civil standards of proof (balance of probabilities) to obtain and will be part of the approach to bring about long-term solutions as well as address immediate impacts for individuals/ communities affected by anti-social behaviour. Can be used from the age of 10 and up.</w:t>
      </w:r>
    </w:p>
    <w:p w14:paraId="1785FFA1" w14:textId="0AAC8A86" w:rsidR="0096491A" w:rsidRDefault="0096491A" w:rsidP="0096491A">
      <w:pPr>
        <w:pStyle w:val="ListParagraph"/>
        <w:ind w:left="1287"/>
        <w:rPr>
          <w:rFonts w:ascii="Arial" w:hAnsi="Arial" w:cs="Arial"/>
          <w:sz w:val="24"/>
          <w:szCs w:val="24"/>
        </w:rPr>
      </w:pPr>
    </w:p>
    <w:p w14:paraId="48DDEE2F" w14:textId="0D6CAFB7" w:rsidR="0096491A" w:rsidRPr="0096491A" w:rsidRDefault="0096491A" w:rsidP="0096491A">
      <w:pPr>
        <w:pStyle w:val="ListParagraph"/>
        <w:numPr>
          <w:ilvl w:val="0"/>
          <w:numId w:val="15"/>
        </w:numPr>
        <w:rPr>
          <w:rFonts w:ascii="Arial" w:hAnsi="Arial" w:cs="Arial"/>
          <w:sz w:val="24"/>
          <w:szCs w:val="24"/>
        </w:rPr>
      </w:pPr>
      <w:r w:rsidRPr="0096491A">
        <w:rPr>
          <w:rFonts w:ascii="Arial" w:hAnsi="Arial" w:cs="Arial"/>
          <w:sz w:val="24"/>
          <w:szCs w:val="24"/>
        </w:rPr>
        <w:lastRenderedPageBreak/>
        <w:t>Community Protection Notice</w:t>
      </w:r>
    </w:p>
    <w:p w14:paraId="05075E24" w14:textId="248B184F" w:rsidR="0096491A" w:rsidRDefault="0096491A" w:rsidP="0096491A">
      <w:pPr>
        <w:pStyle w:val="ListParagraph"/>
        <w:ind w:left="1287"/>
        <w:rPr>
          <w:rFonts w:ascii="Arial" w:hAnsi="Arial" w:cs="Arial"/>
          <w:sz w:val="24"/>
          <w:szCs w:val="24"/>
        </w:rPr>
      </w:pPr>
      <w:r w:rsidRPr="0096491A">
        <w:rPr>
          <w:rFonts w:ascii="Arial" w:hAnsi="Arial" w:cs="Arial"/>
          <w:sz w:val="24"/>
          <w:szCs w:val="24"/>
        </w:rPr>
        <w:t>Police or Local Authority led action. Can be issued to prevent a person engaging in ongoing or persistent anti-social behaviour that is unreasonable and has a detrimental effect on the lives of others in the community. The Service Provider can assist the agency in obtaining a CPN.</w:t>
      </w:r>
    </w:p>
    <w:p w14:paraId="073054C3" w14:textId="77777777" w:rsidR="004A7E73" w:rsidRPr="0096491A" w:rsidRDefault="004A7E73" w:rsidP="0096491A">
      <w:pPr>
        <w:pStyle w:val="ListParagraph"/>
        <w:ind w:left="1287"/>
        <w:rPr>
          <w:rFonts w:ascii="Arial" w:hAnsi="Arial" w:cs="Arial"/>
          <w:sz w:val="24"/>
          <w:szCs w:val="24"/>
        </w:rPr>
      </w:pPr>
    </w:p>
    <w:p w14:paraId="06B32F1F" w14:textId="57A8C1CF" w:rsidR="0096491A" w:rsidRPr="0096491A" w:rsidRDefault="0096491A" w:rsidP="0096491A">
      <w:pPr>
        <w:pStyle w:val="ListParagraph"/>
        <w:numPr>
          <w:ilvl w:val="0"/>
          <w:numId w:val="15"/>
        </w:numPr>
        <w:rPr>
          <w:rFonts w:ascii="Arial" w:hAnsi="Arial" w:cs="Arial"/>
          <w:sz w:val="24"/>
          <w:szCs w:val="24"/>
        </w:rPr>
      </w:pPr>
      <w:r w:rsidRPr="0096491A">
        <w:rPr>
          <w:rFonts w:ascii="Arial" w:hAnsi="Arial" w:cs="Arial"/>
          <w:sz w:val="24"/>
          <w:szCs w:val="24"/>
        </w:rPr>
        <w:t>Community Trigger</w:t>
      </w:r>
    </w:p>
    <w:p w14:paraId="37C7E29B" w14:textId="78F19BB6" w:rsidR="009868B0" w:rsidRPr="0096491A" w:rsidRDefault="0096491A" w:rsidP="0096491A">
      <w:pPr>
        <w:pStyle w:val="ListParagraph"/>
        <w:ind w:left="1287"/>
        <w:rPr>
          <w:rFonts w:ascii="Arial" w:hAnsi="Arial" w:cs="Arial"/>
          <w:sz w:val="24"/>
          <w:szCs w:val="24"/>
        </w:rPr>
      </w:pPr>
      <w:r w:rsidRPr="0096491A">
        <w:rPr>
          <w:rFonts w:ascii="Arial" w:hAnsi="Arial" w:cs="Arial"/>
          <w:sz w:val="24"/>
          <w:szCs w:val="24"/>
        </w:rPr>
        <w:t>The Community Trigger is for claimants who feel that no one is dealing with the anti-social behaviour problems they have been reporting. If the claimant has already reported the problem to the council, police or Service Provider, the community trigger is a way for them to ask agencies to review their case. It will make sure agencies work together to try and solve the problem. They must have reported the behaviour to an agency three or more times within a 6-month period before requesting a trigger. The Community Trigger can also be used by any person on behalf of a claimant, for example a family member, friend, carer, councillor, Member of Parliament, or other professional person. This is intended to ensure that all claimants can use the Community Trigger. However, the claimant’s consent should be sought by the person using the Community Trigger on their behalf.</w:t>
      </w:r>
    </w:p>
    <w:p w14:paraId="293A877E" w14:textId="456CC45D" w:rsidR="0013584D" w:rsidRDefault="0013584D" w:rsidP="009868B0">
      <w:pPr>
        <w:pStyle w:val="ListParagraph"/>
        <w:ind w:left="567"/>
        <w:rPr>
          <w:rFonts w:ascii="Arial Narrow" w:hAnsi="Arial Narrow" w:cs="Arial"/>
          <w:sz w:val="24"/>
          <w:szCs w:val="24"/>
        </w:rPr>
      </w:pPr>
    </w:p>
    <w:p w14:paraId="78B60A95" w14:textId="77777777" w:rsidR="0013584D" w:rsidRPr="009868B0" w:rsidRDefault="0013584D" w:rsidP="009868B0">
      <w:pPr>
        <w:pStyle w:val="ListParagraph"/>
        <w:ind w:left="567"/>
        <w:rPr>
          <w:rFonts w:ascii="Arial Narrow" w:hAnsi="Arial Narrow" w:cs="Arial"/>
          <w:sz w:val="24"/>
          <w:szCs w:val="24"/>
        </w:rPr>
      </w:pPr>
    </w:p>
    <w:p w14:paraId="56705FF9" w14:textId="5AB34278" w:rsidR="00482ADE" w:rsidRDefault="00482ADE" w:rsidP="009868B0">
      <w:pPr>
        <w:rPr>
          <w:rFonts w:ascii="Arial Narrow" w:hAnsi="Arial Narrow" w:cs="Arial"/>
          <w:b/>
          <w:bCs/>
          <w:sz w:val="32"/>
          <w:szCs w:val="32"/>
        </w:rPr>
      </w:pPr>
      <w:r>
        <w:rPr>
          <w:rFonts w:ascii="Arial Narrow" w:hAnsi="Arial Narrow" w:cs="Arial"/>
          <w:b/>
          <w:bCs/>
          <w:sz w:val="32"/>
          <w:szCs w:val="32"/>
        </w:rPr>
        <w:t>Equality, Diversity and Inclusion</w:t>
      </w:r>
    </w:p>
    <w:p w14:paraId="12F9E250" w14:textId="25A01505" w:rsidR="00482ADE" w:rsidRDefault="00482ADE" w:rsidP="00482ADE">
      <w:pPr>
        <w:pStyle w:val="ListParagraph"/>
        <w:numPr>
          <w:ilvl w:val="0"/>
          <w:numId w:val="1"/>
        </w:numPr>
        <w:rPr>
          <w:rFonts w:ascii="Arial" w:hAnsi="Arial" w:cs="Arial"/>
          <w:sz w:val="24"/>
          <w:szCs w:val="24"/>
        </w:rPr>
      </w:pPr>
      <w:r w:rsidRPr="00482ADE">
        <w:rPr>
          <w:rFonts w:ascii="Arial" w:hAnsi="Arial" w:cs="Arial"/>
          <w:sz w:val="24"/>
          <w:szCs w:val="24"/>
        </w:rPr>
        <w:t>The Service Provider will take protected characteristics into account when responding to ASB reports. For example, disabled residents may experience ASB in a more intense way, owing to being at home more often. The Service Provider will ensure this is taken into account in the manner that we respond to, and seek solutions to, ASB.</w:t>
      </w:r>
    </w:p>
    <w:p w14:paraId="09531F29" w14:textId="77777777" w:rsidR="00482ADE" w:rsidRDefault="00482ADE" w:rsidP="00482ADE">
      <w:pPr>
        <w:pStyle w:val="ListParagraph"/>
        <w:ind w:left="567"/>
        <w:rPr>
          <w:rFonts w:ascii="Arial" w:hAnsi="Arial" w:cs="Arial"/>
          <w:sz w:val="24"/>
          <w:szCs w:val="24"/>
        </w:rPr>
      </w:pPr>
    </w:p>
    <w:p w14:paraId="2A09CFA9" w14:textId="643069F2" w:rsidR="00482ADE" w:rsidRDefault="00482ADE" w:rsidP="00482ADE">
      <w:pPr>
        <w:pStyle w:val="ListParagraph"/>
        <w:numPr>
          <w:ilvl w:val="0"/>
          <w:numId w:val="1"/>
        </w:numPr>
        <w:rPr>
          <w:rFonts w:ascii="Arial" w:hAnsi="Arial" w:cs="Arial"/>
          <w:sz w:val="24"/>
          <w:szCs w:val="24"/>
        </w:rPr>
      </w:pPr>
      <w:r w:rsidRPr="00482ADE">
        <w:rPr>
          <w:rFonts w:ascii="Arial" w:hAnsi="Arial" w:cs="Arial"/>
          <w:sz w:val="24"/>
          <w:szCs w:val="24"/>
        </w:rPr>
        <w:t>People from protected characteristics may experience hate crimes, The Service Provider will work with the police to investigate and respond to hate crimes quickly and effectively. We will aim to protect the claimant from further abuse.</w:t>
      </w:r>
    </w:p>
    <w:p w14:paraId="06D660C5" w14:textId="77777777" w:rsidR="004A7E73" w:rsidRPr="004A7E73" w:rsidRDefault="004A7E73" w:rsidP="004A7E73">
      <w:pPr>
        <w:pStyle w:val="ListParagraph"/>
        <w:rPr>
          <w:rFonts w:ascii="Arial" w:hAnsi="Arial" w:cs="Arial"/>
          <w:sz w:val="24"/>
          <w:szCs w:val="24"/>
        </w:rPr>
      </w:pPr>
    </w:p>
    <w:p w14:paraId="305D5017" w14:textId="77777777" w:rsidR="004A7E73" w:rsidRPr="00482ADE" w:rsidRDefault="004A7E73" w:rsidP="004A7E73">
      <w:pPr>
        <w:pStyle w:val="ListParagraph"/>
        <w:ind w:left="567"/>
        <w:rPr>
          <w:rFonts w:ascii="Arial" w:hAnsi="Arial" w:cs="Arial"/>
          <w:sz w:val="24"/>
          <w:szCs w:val="24"/>
        </w:rPr>
      </w:pPr>
    </w:p>
    <w:p w14:paraId="4A5A45E3" w14:textId="5227A84C" w:rsidR="009868B0" w:rsidRDefault="0013584D" w:rsidP="009868B0">
      <w:pPr>
        <w:rPr>
          <w:rFonts w:ascii="Arial Narrow" w:hAnsi="Arial Narrow" w:cs="Arial"/>
          <w:b/>
          <w:bCs/>
          <w:sz w:val="32"/>
          <w:szCs w:val="32"/>
        </w:rPr>
      </w:pPr>
      <w:r>
        <w:rPr>
          <w:rFonts w:ascii="Arial Narrow" w:hAnsi="Arial Narrow" w:cs="Arial"/>
          <w:b/>
          <w:bCs/>
          <w:sz w:val="32"/>
          <w:szCs w:val="32"/>
        </w:rPr>
        <w:t xml:space="preserve">Monitoring and Responsibility </w:t>
      </w:r>
    </w:p>
    <w:p w14:paraId="3BBBE542" w14:textId="60FFB578" w:rsidR="0013584D" w:rsidRDefault="0013584D" w:rsidP="00755971">
      <w:pPr>
        <w:pStyle w:val="ListParagraph"/>
        <w:numPr>
          <w:ilvl w:val="0"/>
          <w:numId w:val="1"/>
        </w:numPr>
        <w:rPr>
          <w:rFonts w:ascii="Arial" w:hAnsi="Arial" w:cs="Arial"/>
          <w:sz w:val="24"/>
          <w:szCs w:val="24"/>
        </w:rPr>
      </w:pPr>
      <w:r w:rsidRPr="00F168BF">
        <w:rPr>
          <w:rFonts w:ascii="Arial" w:hAnsi="Arial" w:cs="Arial"/>
          <w:sz w:val="24"/>
          <w:szCs w:val="24"/>
        </w:rPr>
        <w:t xml:space="preserve">The Head of Service for The Councils has overall responsibility for implementation of this policy. </w:t>
      </w:r>
    </w:p>
    <w:p w14:paraId="4CE1B8C0" w14:textId="77777777" w:rsidR="00F168BF" w:rsidRDefault="00F168BF" w:rsidP="00F168BF">
      <w:pPr>
        <w:pStyle w:val="ListParagraph"/>
        <w:ind w:left="567"/>
        <w:rPr>
          <w:rFonts w:ascii="Arial" w:hAnsi="Arial" w:cs="Arial"/>
          <w:sz w:val="24"/>
          <w:szCs w:val="24"/>
        </w:rPr>
      </w:pPr>
    </w:p>
    <w:p w14:paraId="66B096B3" w14:textId="76215D1D" w:rsidR="0013584D" w:rsidRPr="0013584D" w:rsidRDefault="0013584D" w:rsidP="0013584D">
      <w:pPr>
        <w:pStyle w:val="ListParagraph"/>
        <w:numPr>
          <w:ilvl w:val="0"/>
          <w:numId w:val="1"/>
        </w:numPr>
        <w:rPr>
          <w:rFonts w:ascii="Arial" w:hAnsi="Arial" w:cs="Arial"/>
          <w:sz w:val="24"/>
          <w:szCs w:val="24"/>
        </w:rPr>
      </w:pPr>
      <w:r w:rsidRPr="0013584D">
        <w:rPr>
          <w:rFonts w:ascii="Arial" w:hAnsi="Arial" w:cs="Arial"/>
          <w:sz w:val="24"/>
          <w:szCs w:val="24"/>
        </w:rPr>
        <w:t xml:space="preserve">Context </w:t>
      </w:r>
    </w:p>
    <w:p w14:paraId="696672D3" w14:textId="15BDA1C6" w:rsidR="005532EB" w:rsidRDefault="0013584D" w:rsidP="004A7E73">
      <w:pPr>
        <w:ind w:left="567"/>
        <w:rPr>
          <w:rFonts w:ascii="Arial" w:hAnsi="Arial" w:cs="Arial"/>
          <w:sz w:val="24"/>
          <w:szCs w:val="24"/>
        </w:rPr>
      </w:pPr>
      <w:r w:rsidRPr="0013584D">
        <w:rPr>
          <w:rFonts w:ascii="Arial" w:hAnsi="Arial" w:cs="Arial"/>
          <w:sz w:val="24"/>
          <w:szCs w:val="24"/>
        </w:rPr>
        <w:t>This Policy is based on current legislation and best practice. The Councils will amend it in line with any changes.</w:t>
      </w:r>
    </w:p>
    <w:p w14:paraId="1750A688" w14:textId="77777777" w:rsidR="005702FD" w:rsidRPr="0004502B" w:rsidRDefault="005702FD" w:rsidP="005702FD">
      <w:pPr>
        <w:rPr>
          <w:rFonts w:ascii="Arial" w:hAnsi="Arial" w:cs="Arial"/>
          <w:sz w:val="24"/>
          <w:szCs w:val="24"/>
        </w:rPr>
      </w:pPr>
    </w:p>
    <w:sectPr w:rsidR="005702FD" w:rsidRPr="0004502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79A4" w14:textId="77777777" w:rsidR="005702FD" w:rsidRDefault="005702FD" w:rsidP="005702FD">
      <w:pPr>
        <w:spacing w:after="0" w:line="240" w:lineRule="auto"/>
      </w:pPr>
      <w:r>
        <w:separator/>
      </w:r>
    </w:p>
  </w:endnote>
  <w:endnote w:type="continuationSeparator" w:id="0">
    <w:p w14:paraId="0EBDE5CB" w14:textId="77777777" w:rsidR="005702FD" w:rsidRDefault="005702FD" w:rsidP="005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74183"/>
      <w:docPartObj>
        <w:docPartGallery w:val="Page Numbers (Bottom of Page)"/>
        <w:docPartUnique/>
      </w:docPartObj>
    </w:sdtPr>
    <w:sdtEndPr>
      <w:rPr>
        <w:noProof/>
      </w:rPr>
    </w:sdtEndPr>
    <w:sdtContent>
      <w:p w14:paraId="17B866A1" w14:textId="4F224E10" w:rsidR="005702FD" w:rsidRDefault="005702FD">
        <w:pPr>
          <w:pStyle w:val="Footer"/>
          <w:jc w:val="center"/>
        </w:pPr>
        <w:r w:rsidRPr="005702FD">
          <w:rPr>
            <w:rFonts w:ascii="Arial" w:hAnsi="Arial" w:cs="Arial"/>
          </w:rPr>
          <w:fldChar w:fldCharType="begin"/>
        </w:r>
        <w:r w:rsidRPr="005702FD">
          <w:rPr>
            <w:rFonts w:ascii="Arial" w:hAnsi="Arial" w:cs="Arial"/>
          </w:rPr>
          <w:instrText xml:space="preserve"> PAGE   \* MERGEFORMAT </w:instrText>
        </w:r>
        <w:r w:rsidRPr="005702FD">
          <w:rPr>
            <w:rFonts w:ascii="Arial" w:hAnsi="Arial" w:cs="Arial"/>
          </w:rPr>
          <w:fldChar w:fldCharType="separate"/>
        </w:r>
        <w:r w:rsidRPr="005702FD">
          <w:rPr>
            <w:rFonts w:ascii="Arial" w:hAnsi="Arial" w:cs="Arial"/>
            <w:noProof/>
          </w:rPr>
          <w:t>2</w:t>
        </w:r>
        <w:r w:rsidRPr="005702FD">
          <w:rPr>
            <w:rFonts w:ascii="Arial" w:hAnsi="Arial" w:cs="Arial"/>
            <w:noProof/>
          </w:rPr>
          <w:fldChar w:fldCharType="end"/>
        </w:r>
      </w:p>
    </w:sdtContent>
  </w:sdt>
  <w:p w14:paraId="5AE92D65" w14:textId="77777777" w:rsidR="005702FD" w:rsidRDefault="005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15" w14:textId="77777777" w:rsidR="005702FD" w:rsidRDefault="005702FD" w:rsidP="005702FD">
      <w:pPr>
        <w:spacing w:after="0" w:line="240" w:lineRule="auto"/>
      </w:pPr>
      <w:r>
        <w:separator/>
      </w:r>
    </w:p>
  </w:footnote>
  <w:footnote w:type="continuationSeparator" w:id="0">
    <w:p w14:paraId="00414814" w14:textId="77777777" w:rsidR="005702FD" w:rsidRDefault="005702FD" w:rsidP="005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B0C" w14:textId="1CF99032" w:rsidR="005702FD" w:rsidRDefault="005702FD">
    <w:pPr>
      <w:pStyle w:val="Header"/>
    </w:pPr>
    <w:r>
      <w:t>Version:1</w:t>
    </w:r>
  </w:p>
  <w:p w14:paraId="2D1D86A9" w14:textId="03877B6B" w:rsidR="005702FD" w:rsidRDefault="005702FD">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0C"/>
    <w:multiLevelType w:val="hybridMultilevel"/>
    <w:tmpl w:val="A2760DF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3EBD"/>
    <w:multiLevelType w:val="hybridMultilevel"/>
    <w:tmpl w:val="58D67B1C"/>
    <w:lvl w:ilvl="0" w:tplc="C5BE8AAA">
      <w:numFmt w:val="bullet"/>
      <w:lvlText w:val="•"/>
      <w:lvlJc w:val="left"/>
      <w:pPr>
        <w:ind w:left="454"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39069B"/>
    <w:multiLevelType w:val="hybridMultilevel"/>
    <w:tmpl w:val="E0ACB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227CF"/>
    <w:multiLevelType w:val="hybridMultilevel"/>
    <w:tmpl w:val="F5C639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7AD0E15"/>
    <w:multiLevelType w:val="hybridMultilevel"/>
    <w:tmpl w:val="E65AA2D4"/>
    <w:lvl w:ilvl="0" w:tplc="C5BE8AAA">
      <w:numFmt w:val="bullet"/>
      <w:lvlText w:val="•"/>
      <w:lvlJc w:val="left"/>
      <w:pPr>
        <w:ind w:left="794" w:hanging="454"/>
      </w:pPr>
      <w:rPr>
        <w:rFonts w:ascii="Arial" w:eastAsia="Arial" w:hAnsi="Arial" w:hint="default"/>
        <w:color w:val="auto"/>
        <w:spacing w:val="-4"/>
        <w:w w:val="99"/>
        <w:sz w:val="24"/>
        <w:szCs w:val="24"/>
        <w:lang w:val="en-GB" w:eastAsia="en-GB" w:bidi="en-GB"/>
      </w:rPr>
    </w:lvl>
    <w:lvl w:ilvl="1" w:tplc="8304B2CA">
      <w:numFmt w:val="bullet"/>
      <w:lvlText w:val="•"/>
      <w:lvlJc w:val="left"/>
      <w:pPr>
        <w:ind w:left="1613" w:hanging="152"/>
      </w:pPr>
      <w:rPr>
        <w:rFonts w:hint="default"/>
        <w:lang w:val="en-GB" w:eastAsia="en-GB" w:bidi="en-GB"/>
      </w:rPr>
    </w:lvl>
    <w:lvl w:ilvl="2" w:tplc="5CB043EA">
      <w:numFmt w:val="bullet"/>
      <w:lvlText w:val="•"/>
      <w:lvlJc w:val="left"/>
      <w:pPr>
        <w:ind w:left="2652" w:hanging="152"/>
      </w:pPr>
      <w:rPr>
        <w:rFonts w:hint="default"/>
        <w:lang w:val="en-GB" w:eastAsia="en-GB" w:bidi="en-GB"/>
      </w:rPr>
    </w:lvl>
    <w:lvl w:ilvl="3" w:tplc="CDE69586">
      <w:numFmt w:val="bullet"/>
      <w:lvlText w:val="•"/>
      <w:lvlJc w:val="left"/>
      <w:pPr>
        <w:ind w:left="3690" w:hanging="152"/>
      </w:pPr>
      <w:rPr>
        <w:rFonts w:hint="default"/>
        <w:lang w:val="en-GB" w:eastAsia="en-GB" w:bidi="en-GB"/>
      </w:rPr>
    </w:lvl>
    <w:lvl w:ilvl="4" w:tplc="D1D8CBC6">
      <w:numFmt w:val="bullet"/>
      <w:lvlText w:val="•"/>
      <w:lvlJc w:val="left"/>
      <w:pPr>
        <w:ind w:left="4729" w:hanging="152"/>
      </w:pPr>
      <w:rPr>
        <w:rFonts w:hint="default"/>
        <w:lang w:val="en-GB" w:eastAsia="en-GB" w:bidi="en-GB"/>
      </w:rPr>
    </w:lvl>
    <w:lvl w:ilvl="5" w:tplc="0DA4B5C6">
      <w:numFmt w:val="bullet"/>
      <w:lvlText w:val="•"/>
      <w:lvlJc w:val="left"/>
      <w:pPr>
        <w:ind w:left="5768" w:hanging="152"/>
      </w:pPr>
      <w:rPr>
        <w:rFonts w:hint="default"/>
        <w:lang w:val="en-GB" w:eastAsia="en-GB" w:bidi="en-GB"/>
      </w:rPr>
    </w:lvl>
    <w:lvl w:ilvl="6" w:tplc="06E24A6E">
      <w:numFmt w:val="bullet"/>
      <w:lvlText w:val="•"/>
      <w:lvlJc w:val="left"/>
      <w:pPr>
        <w:ind w:left="6806" w:hanging="152"/>
      </w:pPr>
      <w:rPr>
        <w:rFonts w:hint="default"/>
        <w:lang w:val="en-GB" w:eastAsia="en-GB" w:bidi="en-GB"/>
      </w:rPr>
    </w:lvl>
    <w:lvl w:ilvl="7" w:tplc="D5C69C22">
      <w:numFmt w:val="bullet"/>
      <w:lvlText w:val="•"/>
      <w:lvlJc w:val="left"/>
      <w:pPr>
        <w:ind w:left="7845" w:hanging="152"/>
      </w:pPr>
      <w:rPr>
        <w:rFonts w:hint="default"/>
        <w:lang w:val="en-GB" w:eastAsia="en-GB" w:bidi="en-GB"/>
      </w:rPr>
    </w:lvl>
    <w:lvl w:ilvl="8" w:tplc="64D80E68">
      <w:numFmt w:val="bullet"/>
      <w:lvlText w:val="•"/>
      <w:lvlJc w:val="left"/>
      <w:pPr>
        <w:ind w:left="8884" w:hanging="152"/>
      </w:pPr>
      <w:rPr>
        <w:rFonts w:hint="default"/>
        <w:lang w:val="en-GB" w:eastAsia="en-GB" w:bidi="en-GB"/>
      </w:rPr>
    </w:lvl>
  </w:abstractNum>
  <w:abstractNum w:abstractNumId="5" w15:restartNumberingAfterBreak="0">
    <w:nsid w:val="17FD77E1"/>
    <w:multiLevelType w:val="hybridMultilevel"/>
    <w:tmpl w:val="5E8C770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B6D6767"/>
    <w:multiLevelType w:val="hybridMultilevel"/>
    <w:tmpl w:val="376C7858"/>
    <w:lvl w:ilvl="0" w:tplc="C5BE8AAA">
      <w:numFmt w:val="bullet"/>
      <w:lvlText w:val="•"/>
      <w:lvlJc w:val="left"/>
      <w:pPr>
        <w:ind w:left="906"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7" w15:restartNumberingAfterBreak="0">
    <w:nsid w:val="232D40DF"/>
    <w:multiLevelType w:val="hybridMultilevel"/>
    <w:tmpl w:val="F8C8BD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43C4826"/>
    <w:multiLevelType w:val="hybridMultilevel"/>
    <w:tmpl w:val="4C10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72E61"/>
    <w:multiLevelType w:val="hybridMultilevel"/>
    <w:tmpl w:val="4B32547C"/>
    <w:lvl w:ilvl="0" w:tplc="B4FA9060">
      <w:start w:val="1"/>
      <w:numFmt w:val="decimal"/>
      <w:lvlText w:val="%1."/>
      <w:lvlJc w:val="left"/>
      <w:pPr>
        <w:ind w:left="567" w:hanging="454"/>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E712E"/>
    <w:multiLevelType w:val="hybridMultilevel"/>
    <w:tmpl w:val="61DEFB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03E6BF8"/>
    <w:multiLevelType w:val="hybridMultilevel"/>
    <w:tmpl w:val="C7C435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6B6252"/>
    <w:multiLevelType w:val="hybridMultilevel"/>
    <w:tmpl w:val="65D2A25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C92703D"/>
    <w:multiLevelType w:val="hybridMultilevel"/>
    <w:tmpl w:val="3C40BD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47C640BF"/>
    <w:multiLevelType w:val="hybridMultilevel"/>
    <w:tmpl w:val="3CDC3D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A677646"/>
    <w:multiLevelType w:val="hybridMultilevel"/>
    <w:tmpl w:val="6A2691A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76F72166"/>
    <w:multiLevelType w:val="hybridMultilevel"/>
    <w:tmpl w:val="F4B4598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8661036">
    <w:abstractNumId w:val="9"/>
  </w:num>
  <w:num w:numId="2" w16cid:durableId="742029929">
    <w:abstractNumId w:val="4"/>
  </w:num>
  <w:num w:numId="3" w16cid:durableId="1593316466">
    <w:abstractNumId w:val="6"/>
  </w:num>
  <w:num w:numId="4" w16cid:durableId="476144756">
    <w:abstractNumId w:val="2"/>
  </w:num>
  <w:num w:numId="5" w16cid:durableId="1395662799">
    <w:abstractNumId w:val="1"/>
  </w:num>
  <w:num w:numId="6" w16cid:durableId="67845954">
    <w:abstractNumId w:val="0"/>
  </w:num>
  <w:num w:numId="7" w16cid:durableId="1050500136">
    <w:abstractNumId w:val="7"/>
  </w:num>
  <w:num w:numId="8" w16cid:durableId="140540962">
    <w:abstractNumId w:val="16"/>
  </w:num>
  <w:num w:numId="9" w16cid:durableId="1396010213">
    <w:abstractNumId w:val="15"/>
  </w:num>
  <w:num w:numId="10" w16cid:durableId="20514020">
    <w:abstractNumId w:val="14"/>
  </w:num>
  <w:num w:numId="11" w16cid:durableId="79301739">
    <w:abstractNumId w:val="8"/>
  </w:num>
  <w:num w:numId="12" w16cid:durableId="1214467881">
    <w:abstractNumId w:val="11"/>
  </w:num>
  <w:num w:numId="13" w16cid:durableId="1966696024">
    <w:abstractNumId w:val="3"/>
  </w:num>
  <w:num w:numId="14" w16cid:durableId="2125419276">
    <w:abstractNumId w:val="10"/>
  </w:num>
  <w:num w:numId="15" w16cid:durableId="620841081">
    <w:abstractNumId w:val="5"/>
  </w:num>
  <w:num w:numId="16" w16cid:durableId="828327027">
    <w:abstractNumId w:val="12"/>
  </w:num>
  <w:num w:numId="17" w16cid:durableId="15146102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D"/>
    <w:rsid w:val="0004502B"/>
    <w:rsid w:val="0013584D"/>
    <w:rsid w:val="00320F5B"/>
    <w:rsid w:val="00482ADE"/>
    <w:rsid w:val="004A7E73"/>
    <w:rsid w:val="004C25AC"/>
    <w:rsid w:val="005452ED"/>
    <w:rsid w:val="005532EB"/>
    <w:rsid w:val="005702FD"/>
    <w:rsid w:val="0082106D"/>
    <w:rsid w:val="00904329"/>
    <w:rsid w:val="0096491A"/>
    <w:rsid w:val="009868B0"/>
    <w:rsid w:val="00A42AA3"/>
    <w:rsid w:val="00A61F8D"/>
    <w:rsid w:val="00D059AF"/>
    <w:rsid w:val="00F16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071"/>
  <w15:chartTrackingRefBased/>
  <w15:docId w15:val="{9F0732A8-EBE4-45CC-B4C7-90B1C14B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02FD"/>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57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2FD"/>
  </w:style>
  <w:style w:type="paragraph" w:styleId="Footer">
    <w:name w:val="footer"/>
    <w:basedOn w:val="Normal"/>
    <w:link w:val="FooterChar"/>
    <w:uiPriority w:val="99"/>
    <w:unhideWhenUsed/>
    <w:rsid w:val="0057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2FD"/>
  </w:style>
  <w:style w:type="character" w:styleId="CommentReference">
    <w:name w:val="annotation reference"/>
    <w:basedOn w:val="DefaultParagraphFont"/>
    <w:uiPriority w:val="99"/>
    <w:semiHidden/>
    <w:unhideWhenUsed/>
    <w:rsid w:val="005702FD"/>
    <w:rPr>
      <w:sz w:val="16"/>
      <w:szCs w:val="16"/>
    </w:rPr>
  </w:style>
  <w:style w:type="paragraph" w:styleId="CommentText">
    <w:name w:val="annotation text"/>
    <w:basedOn w:val="Normal"/>
    <w:link w:val="CommentTextChar"/>
    <w:uiPriority w:val="99"/>
    <w:unhideWhenUsed/>
    <w:rsid w:val="005702FD"/>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5702FD"/>
    <w:rPr>
      <w:rFonts w:ascii="Arial" w:eastAsia="Arial" w:hAnsi="Arial" w:cs="Arial"/>
      <w:sz w:val="20"/>
      <w:szCs w:val="20"/>
      <w:lang w:eastAsia="en-GB" w:bidi="en-GB"/>
    </w:rPr>
  </w:style>
  <w:style w:type="paragraph" w:styleId="ListParagraph">
    <w:name w:val="List Paragraph"/>
    <w:basedOn w:val="Normal"/>
    <w:uiPriority w:val="1"/>
    <w:qFormat/>
    <w:rsid w:val="005702FD"/>
    <w:pPr>
      <w:ind w:left="720"/>
      <w:contextualSpacing/>
    </w:pPr>
  </w:style>
  <w:style w:type="paragraph" w:styleId="BodyText">
    <w:name w:val="Body Text"/>
    <w:basedOn w:val="Normal"/>
    <w:link w:val="BodyTextChar"/>
    <w:uiPriority w:val="1"/>
    <w:qFormat/>
    <w:rsid w:val="00A42AA3"/>
    <w:pPr>
      <w:widowControl w:val="0"/>
      <w:autoSpaceDE w:val="0"/>
      <w:autoSpaceDN w:val="0"/>
      <w:spacing w:after="0" w:line="240" w:lineRule="auto"/>
      <w:ind w:left="112"/>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A42AA3"/>
    <w:rPr>
      <w:rFonts w:ascii="Arial" w:eastAsia="Arial" w:hAnsi="Arial" w:cs="Arial"/>
      <w:sz w:val="24"/>
      <w:szCs w:val="24"/>
      <w:lang w:eastAsia="en-GB" w:bidi="en-GB"/>
    </w:rPr>
  </w:style>
  <w:style w:type="character" w:styleId="Hyperlink">
    <w:name w:val="Hyperlink"/>
    <w:basedOn w:val="DefaultParagraphFont"/>
    <w:uiPriority w:val="99"/>
    <w:unhideWhenUsed/>
    <w:rsid w:val="0004502B"/>
    <w:rPr>
      <w:color w:val="0563C1" w:themeColor="hyperlink"/>
      <w:u w:val="single"/>
    </w:rPr>
  </w:style>
  <w:style w:type="character" w:styleId="UnresolvedMention">
    <w:name w:val="Unresolved Mention"/>
    <w:basedOn w:val="DefaultParagraphFont"/>
    <w:uiPriority w:val="99"/>
    <w:semiHidden/>
    <w:unhideWhenUsed/>
    <w:rsid w:val="0004502B"/>
    <w:rPr>
      <w:color w:val="605E5C"/>
      <w:shd w:val="clear" w:color="auto" w:fill="E1DFDD"/>
    </w:rPr>
  </w:style>
  <w:style w:type="character" w:customStyle="1" w:styleId="Heading1Char">
    <w:name w:val="Heading 1 Char"/>
    <w:basedOn w:val="DefaultParagraphFont"/>
    <w:link w:val="Heading1"/>
    <w:uiPriority w:val="9"/>
    <w:rsid w:val="00320F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F5B"/>
    <w:pPr>
      <w:outlineLvl w:val="9"/>
    </w:pPr>
    <w:rPr>
      <w:lang w:val="en-US"/>
    </w:rPr>
  </w:style>
  <w:style w:type="paragraph" w:styleId="TOC2">
    <w:name w:val="toc 2"/>
    <w:basedOn w:val="Normal"/>
    <w:next w:val="Normal"/>
    <w:autoRedefine/>
    <w:uiPriority w:val="39"/>
    <w:unhideWhenUsed/>
    <w:rsid w:val="00320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A15F5-B13D-44B7-8F99-A9CC1D7B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1516</Words>
  <Characters>8647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5</cp:revision>
  <dcterms:created xsi:type="dcterms:W3CDTF">2023-10-18T17:22:00Z</dcterms:created>
  <dcterms:modified xsi:type="dcterms:W3CDTF">2023-10-18T18:30:00Z</dcterms:modified>
</cp:coreProperties>
</file>